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6B55" w14:textId="5F46F65E" w:rsidR="00542D4F" w:rsidRPr="00355D66" w:rsidRDefault="00542D4F" w:rsidP="00542D4F">
      <w:pPr>
        <w:jc w:val="center"/>
        <w:rPr>
          <w:b/>
          <w:sz w:val="24"/>
          <w:szCs w:val="24"/>
        </w:rPr>
      </w:pPr>
      <w:r w:rsidRPr="00355D66">
        <w:rPr>
          <w:b/>
          <w:sz w:val="24"/>
          <w:szCs w:val="24"/>
        </w:rPr>
        <w:t>20</w:t>
      </w:r>
      <w:r w:rsidR="00795878">
        <w:rPr>
          <w:b/>
          <w:sz w:val="24"/>
          <w:szCs w:val="24"/>
        </w:rPr>
        <w:t>20</w:t>
      </w:r>
      <w:r w:rsidRPr="00355D66">
        <w:rPr>
          <w:b/>
          <w:sz w:val="24"/>
          <w:szCs w:val="24"/>
        </w:rPr>
        <w:t xml:space="preserve"> Kansas Export Statistics Executive Summary</w:t>
      </w:r>
      <w:bookmarkStart w:id="0" w:name="_GoBack"/>
      <w:bookmarkEnd w:id="0"/>
    </w:p>
    <w:p w14:paraId="130755BA" w14:textId="496B6D87" w:rsidR="00542D4F" w:rsidRPr="00355D66" w:rsidRDefault="00542D4F">
      <w:r w:rsidRPr="00355D66">
        <w:t>Kansas exports totaled $1</w:t>
      </w:r>
      <w:r w:rsidR="006E15E0">
        <w:t>0</w:t>
      </w:r>
      <w:r w:rsidRPr="00355D66">
        <w:t>.</w:t>
      </w:r>
      <w:r w:rsidR="00334B57">
        <w:t>4</w:t>
      </w:r>
      <w:r w:rsidRPr="00355D66">
        <w:t xml:space="preserve"> billion in 20</w:t>
      </w:r>
      <w:r w:rsidR="00334B57">
        <w:t>20</w:t>
      </w:r>
      <w:r w:rsidRPr="00355D66">
        <w:t>. Compared w</w:t>
      </w:r>
      <w:r w:rsidR="00DD21AC" w:rsidRPr="00355D66">
        <w:t xml:space="preserve">ith last year’s data, exports </w:t>
      </w:r>
      <w:r w:rsidR="00334B57">
        <w:t>decreased</w:t>
      </w:r>
      <w:r w:rsidRPr="00355D66">
        <w:t xml:space="preserve"> by</w:t>
      </w:r>
      <w:r w:rsidR="00986BF4" w:rsidRPr="00355D66">
        <w:t xml:space="preserve"> $</w:t>
      </w:r>
      <w:r w:rsidR="00624CF4">
        <w:t>1.</w:t>
      </w:r>
      <w:r w:rsidR="009C3889">
        <w:t>3</w:t>
      </w:r>
      <w:r w:rsidR="004022ED">
        <w:t xml:space="preserve"> </w:t>
      </w:r>
      <w:r w:rsidR="00624CF4">
        <w:t>b</w:t>
      </w:r>
      <w:r w:rsidR="004022ED">
        <w:t>illion</w:t>
      </w:r>
      <w:r w:rsidR="00B87887" w:rsidRPr="00355D66">
        <w:t>, representing a</w:t>
      </w:r>
      <w:r w:rsidRPr="00355D66">
        <w:t xml:space="preserve"> </w:t>
      </w:r>
      <w:r w:rsidR="00FA46CF">
        <w:t>10.</w:t>
      </w:r>
      <w:r w:rsidR="001D1688">
        <w:t>8</w:t>
      </w:r>
      <w:r w:rsidR="00DD21AC" w:rsidRPr="00355D66">
        <w:t xml:space="preserve"> percent </w:t>
      </w:r>
      <w:r w:rsidR="006114E7">
        <w:t>reduction</w:t>
      </w:r>
      <w:r w:rsidR="00EA1A90" w:rsidRPr="00355D66">
        <w:t xml:space="preserve">. </w:t>
      </w:r>
      <w:r w:rsidR="001A781A">
        <w:t>On</w:t>
      </w:r>
      <w:r w:rsidRPr="00355D66">
        <w:t xml:space="preserve"> the national level</w:t>
      </w:r>
      <w:r w:rsidR="001A781A">
        <w:t>,</w:t>
      </w:r>
      <w:r w:rsidRPr="00355D66">
        <w:t xml:space="preserve"> U.S. exports experienced a </w:t>
      </w:r>
      <w:r w:rsidR="001A781A">
        <w:t>1</w:t>
      </w:r>
      <w:r w:rsidR="00CB6DD8">
        <w:t>2</w:t>
      </w:r>
      <w:r w:rsidRPr="00355D66">
        <w:t>.</w:t>
      </w:r>
      <w:r w:rsidR="00CB6DD8">
        <w:t>9</w:t>
      </w:r>
      <w:r w:rsidRPr="00355D66">
        <w:t xml:space="preserve"> percent</w:t>
      </w:r>
      <w:r w:rsidR="00C10873" w:rsidRPr="00355D66">
        <w:t xml:space="preserve"> </w:t>
      </w:r>
      <w:r w:rsidR="001A781A">
        <w:t>decline during the same period</w:t>
      </w:r>
      <w:r w:rsidR="000F2E7B" w:rsidRPr="00355D66">
        <w:t>.</w:t>
      </w:r>
      <w:r w:rsidRPr="00355D66">
        <w:t xml:space="preserve"> </w:t>
      </w:r>
      <w:r w:rsidR="000E75A6">
        <w:t>The ongoing global pandemic</w:t>
      </w:r>
      <w:r w:rsidR="00172EB8">
        <w:t xml:space="preserve"> and the </w:t>
      </w:r>
      <w:r w:rsidR="005F6595">
        <w:t xml:space="preserve">continued </w:t>
      </w:r>
      <w:r w:rsidR="00506F81">
        <w:t xml:space="preserve">global economic </w:t>
      </w:r>
      <w:r w:rsidR="00B301D1">
        <w:t>slowdown</w:t>
      </w:r>
      <w:r w:rsidR="005F6595">
        <w:t xml:space="preserve"> are the major contributing factors. </w:t>
      </w:r>
    </w:p>
    <w:p w14:paraId="6C19994E" w14:textId="068401FB" w:rsidR="00DC1103" w:rsidRDefault="00542D4F">
      <w:r w:rsidRPr="00355D66">
        <w:t>The combined value of the top ten exported commoditie</w:t>
      </w:r>
      <w:r w:rsidR="005318C1">
        <w:t>s was $</w:t>
      </w:r>
      <w:r w:rsidR="00F1388B">
        <w:t>8</w:t>
      </w:r>
      <w:r w:rsidR="009F5E7E" w:rsidRPr="00355D66">
        <w:t xml:space="preserve"> billion, which </w:t>
      </w:r>
      <w:r w:rsidR="002A4DF3">
        <w:t>dropped</w:t>
      </w:r>
      <w:r w:rsidRPr="00355D66">
        <w:t xml:space="preserve"> by </w:t>
      </w:r>
      <w:r w:rsidR="002A4DF3">
        <w:t>11</w:t>
      </w:r>
      <w:r w:rsidRPr="00355D66">
        <w:t>.</w:t>
      </w:r>
      <w:r w:rsidR="00B1210B">
        <w:t>3</w:t>
      </w:r>
      <w:r w:rsidR="00A5001B" w:rsidRPr="00355D66">
        <w:t xml:space="preserve"> percent since 201</w:t>
      </w:r>
      <w:r w:rsidR="002A4DF3">
        <w:t>9</w:t>
      </w:r>
      <w:r w:rsidRPr="00355D66">
        <w:t xml:space="preserve">. </w:t>
      </w:r>
      <w:r w:rsidR="00073AC6" w:rsidRPr="00355D66">
        <w:t>T</w:t>
      </w:r>
      <w:r w:rsidRPr="00355D66">
        <w:t>he</w:t>
      </w:r>
      <w:r w:rsidR="00A5001B" w:rsidRPr="00355D66">
        <w:t xml:space="preserve"> largest gains were seen in the </w:t>
      </w:r>
      <w:r w:rsidR="0056180D">
        <w:t>e</w:t>
      </w:r>
      <w:r w:rsidR="00355966">
        <w:t>thyl</w:t>
      </w:r>
      <w:r w:rsidR="00DB1718">
        <w:t xml:space="preserve"> alcohol category, </w:t>
      </w:r>
      <w:r w:rsidR="002A5316">
        <w:t>oil</w:t>
      </w:r>
      <w:r w:rsidR="00CD6CBB">
        <w:t xml:space="preserve"> seeds</w:t>
      </w:r>
      <w:r w:rsidR="001A781A">
        <w:t xml:space="preserve"> category</w:t>
      </w:r>
      <w:r w:rsidR="00EA13CE">
        <w:t xml:space="preserve">, </w:t>
      </w:r>
      <w:r w:rsidR="00DB1718">
        <w:t xml:space="preserve">and </w:t>
      </w:r>
      <w:r w:rsidR="00CD6CBB">
        <w:t>cereals</w:t>
      </w:r>
      <w:r w:rsidR="00771766">
        <w:t xml:space="preserve"> category, </w:t>
      </w:r>
      <w:r w:rsidR="00EA13CE">
        <w:t xml:space="preserve">which </w:t>
      </w:r>
      <w:r w:rsidR="00771766">
        <w:t xml:space="preserve">increased by </w:t>
      </w:r>
      <w:r w:rsidR="00DB1718">
        <w:t>$96</w:t>
      </w:r>
      <w:r w:rsidR="00014E2D">
        <w:t xml:space="preserve"> million, </w:t>
      </w:r>
      <w:r w:rsidR="00771766">
        <w:t>$</w:t>
      </w:r>
      <w:r w:rsidR="00A17B3A">
        <w:t>65</w:t>
      </w:r>
      <w:r w:rsidR="00771766">
        <w:t xml:space="preserve"> million, </w:t>
      </w:r>
      <w:r w:rsidR="00014E2D">
        <w:t xml:space="preserve">and </w:t>
      </w:r>
      <w:r w:rsidR="00771766">
        <w:t>$</w:t>
      </w:r>
      <w:r w:rsidR="00A17B3A">
        <w:t>46</w:t>
      </w:r>
      <w:r w:rsidR="00771766">
        <w:t xml:space="preserve"> million</w:t>
      </w:r>
      <w:r w:rsidR="00014E2D">
        <w:t xml:space="preserve"> </w:t>
      </w:r>
      <w:r w:rsidR="00771766">
        <w:t xml:space="preserve">respectively. </w:t>
      </w:r>
      <w:r w:rsidR="00771766" w:rsidRPr="00355D66">
        <w:t>On the contrary,</w:t>
      </w:r>
      <w:r w:rsidR="00771766">
        <w:t xml:space="preserve"> t</w:t>
      </w:r>
      <w:r w:rsidR="00801EC9">
        <w:t xml:space="preserve">he </w:t>
      </w:r>
      <w:r w:rsidR="00A532A3">
        <w:t xml:space="preserve">aircraft and parts </w:t>
      </w:r>
      <w:r w:rsidR="00771766">
        <w:t xml:space="preserve">category </w:t>
      </w:r>
      <w:r w:rsidR="00EA13CE">
        <w:t xml:space="preserve">decreased </w:t>
      </w:r>
      <w:r w:rsidR="00771766">
        <w:t>by $</w:t>
      </w:r>
      <w:r w:rsidR="007B4060">
        <w:t>617</w:t>
      </w:r>
      <w:r w:rsidR="00771766">
        <w:t xml:space="preserve"> million</w:t>
      </w:r>
      <w:r w:rsidR="00AB6819">
        <w:t>,</w:t>
      </w:r>
      <w:r w:rsidR="00771766">
        <w:t xml:space="preserve"> and the </w:t>
      </w:r>
      <w:r w:rsidR="00DC1103">
        <w:t xml:space="preserve">special classification provisions </w:t>
      </w:r>
      <w:r w:rsidR="00E13143">
        <w:t>category</w:t>
      </w:r>
      <w:r w:rsidR="00957234">
        <w:t xml:space="preserve"> shr</w:t>
      </w:r>
      <w:r w:rsidR="00EA2DCA">
        <w:t>unk</w:t>
      </w:r>
      <w:r w:rsidR="00E079C6">
        <w:t xml:space="preserve"> by $207 million. </w:t>
      </w:r>
      <w:r w:rsidR="008C0171">
        <w:t xml:space="preserve">Such </w:t>
      </w:r>
      <w:r w:rsidR="00D16D51">
        <w:t>category</w:t>
      </w:r>
      <w:r w:rsidR="00DC1103">
        <w:t xml:space="preserve"> </w:t>
      </w:r>
      <w:r w:rsidR="00DC1103">
        <w:rPr>
          <w:noProof/>
        </w:rPr>
        <w:t>include</w:t>
      </w:r>
      <w:r w:rsidR="00D16D51">
        <w:rPr>
          <w:noProof/>
        </w:rPr>
        <w:t>s</w:t>
      </w:r>
      <w:r w:rsidR="00DC1103">
        <w:t xml:space="preserve"> repaired goods</w:t>
      </w:r>
      <w:r w:rsidR="00CB393D">
        <w:t xml:space="preserve"> </w:t>
      </w:r>
      <w:r w:rsidR="00037299">
        <w:t>and charit</w:t>
      </w:r>
      <w:r w:rsidR="002C5A8E">
        <w:t>able</w:t>
      </w:r>
      <w:r w:rsidR="00037299">
        <w:t xml:space="preserve"> donation</w:t>
      </w:r>
      <w:r w:rsidR="002C5A8E">
        <w:t>s</w:t>
      </w:r>
      <w:r w:rsidR="00D16D51">
        <w:t xml:space="preserve">. </w:t>
      </w:r>
      <w:r w:rsidR="00DC1103">
        <w:t xml:space="preserve"> </w:t>
      </w:r>
    </w:p>
    <w:p w14:paraId="456E3308" w14:textId="3A3CB51E" w:rsidR="00542D4F" w:rsidRPr="00355D66" w:rsidRDefault="00542D4F">
      <w:r w:rsidRPr="004B5218">
        <w:t>In the five-state region</w:t>
      </w:r>
      <w:r w:rsidR="0075541B">
        <w:t>, including</w:t>
      </w:r>
      <w:r w:rsidRPr="004B5218">
        <w:t xml:space="preserve"> Kansas, Colorado, Missouri, Nebraska</w:t>
      </w:r>
      <w:r w:rsidR="00AB6819" w:rsidRPr="004B5218">
        <w:t>,</w:t>
      </w:r>
      <w:r w:rsidRPr="004B5218">
        <w:t xml:space="preserve"> and Oklahoma,</w:t>
      </w:r>
      <w:r w:rsidR="001C4C47" w:rsidRPr="004B5218">
        <w:t xml:space="preserve"> the average export value was $</w:t>
      </w:r>
      <w:r w:rsidR="006F172E">
        <w:t>8</w:t>
      </w:r>
      <w:r w:rsidRPr="004B5218">
        <w:t>.</w:t>
      </w:r>
      <w:r w:rsidR="006F172E">
        <w:t>8</w:t>
      </w:r>
      <w:r w:rsidR="00591731" w:rsidRPr="004B5218">
        <w:t xml:space="preserve"> billion, </w:t>
      </w:r>
      <w:r w:rsidR="00EA13CE" w:rsidRPr="004B5218">
        <w:t xml:space="preserve">and </w:t>
      </w:r>
      <w:r w:rsidR="00591731" w:rsidRPr="004B5218">
        <w:t>$</w:t>
      </w:r>
      <w:r w:rsidR="00331AA2">
        <w:t>1</w:t>
      </w:r>
      <w:r w:rsidRPr="004B5218">
        <w:t>.</w:t>
      </w:r>
      <w:r w:rsidR="00331AA2">
        <w:t>6</w:t>
      </w:r>
      <w:r w:rsidRPr="004B5218">
        <w:t xml:space="preserve"> billion less than the Sunflower State.</w:t>
      </w:r>
      <w:r w:rsidRPr="00355D66">
        <w:t xml:space="preserve"> </w:t>
      </w:r>
    </w:p>
    <w:p w14:paraId="2FA8819D" w14:textId="4EF3B5FF" w:rsidR="00542D4F" w:rsidRDefault="00542D4F" w:rsidP="00542D4F">
      <w:pPr>
        <w:spacing w:after="0" w:line="240" w:lineRule="auto"/>
      </w:pPr>
      <w:r w:rsidRPr="00355D66">
        <w:t xml:space="preserve">Below are some highlights regarding key international markets and commodities: </w:t>
      </w:r>
    </w:p>
    <w:p w14:paraId="7699CAA7" w14:textId="77777777" w:rsidR="00AB6819" w:rsidRPr="00355D66" w:rsidRDefault="00AB6819" w:rsidP="00542D4F">
      <w:pPr>
        <w:spacing w:after="0" w:line="240" w:lineRule="auto"/>
      </w:pPr>
    </w:p>
    <w:p w14:paraId="6E81375A" w14:textId="171EE18E" w:rsidR="00542D4F" w:rsidRPr="00355D66" w:rsidRDefault="007531E4" w:rsidP="00542D4F">
      <w:pPr>
        <w:pStyle w:val="ListParagraph"/>
        <w:numPr>
          <w:ilvl w:val="0"/>
          <w:numId w:val="1"/>
        </w:numPr>
        <w:spacing w:after="0" w:line="240" w:lineRule="auto"/>
      </w:pPr>
      <w:r w:rsidRPr="00355D66">
        <w:t>The top ten</w:t>
      </w:r>
      <w:r w:rsidR="00542D4F" w:rsidRPr="00355D66">
        <w:t xml:space="preserve"> exported commodities accounted for </w:t>
      </w:r>
      <w:r w:rsidR="00370312" w:rsidRPr="00355D66">
        <w:t>77</w:t>
      </w:r>
      <w:r w:rsidR="00081FB3" w:rsidRPr="00355D66">
        <w:t xml:space="preserve"> </w:t>
      </w:r>
      <w:r w:rsidR="00630EEC" w:rsidRPr="00355D66">
        <w:t>percent of total exports</w:t>
      </w:r>
      <w:r w:rsidR="00D97F0F">
        <w:t xml:space="preserve">, nearly </w:t>
      </w:r>
      <w:r w:rsidR="00EA13CE">
        <w:t xml:space="preserve">the same as last </w:t>
      </w:r>
      <w:r w:rsidR="00D97F0F">
        <w:t>year’s data</w:t>
      </w:r>
      <w:r w:rsidR="00A44C10">
        <w:t xml:space="preserve"> (77.</w:t>
      </w:r>
      <w:r w:rsidR="002A7BB4">
        <w:t>4</w:t>
      </w:r>
      <w:r w:rsidR="00801EC9">
        <w:t xml:space="preserve"> </w:t>
      </w:r>
      <w:r w:rsidR="00A44C10">
        <w:t>percent);</w:t>
      </w:r>
    </w:p>
    <w:p w14:paraId="6E35774C" w14:textId="77777777" w:rsidR="00073AC6" w:rsidRPr="00355D66" w:rsidRDefault="00073AC6" w:rsidP="00073AC6">
      <w:pPr>
        <w:pStyle w:val="ListParagraph"/>
        <w:spacing w:after="0" w:line="240" w:lineRule="auto"/>
      </w:pPr>
    </w:p>
    <w:p w14:paraId="46397767" w14:textId="01B8748C" w:rsidR="00A44C10" w:rsidRDefault="00A44C10" w:rsidP="007C2C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than </w:t>
      </w:r>
      <w:r w:rsidR="007C2C7B">
        <w:t>the</w:t>
      </w:r>
      <w:r w:rsidR="007C2C7B" w:rsidRPr="00355D66">
        <w:t xml:space="preserve"> </w:t>
      </w:r>
      <w:r w:rsidR="00ED413C">
        <w:t xml:space="preserve">ethyl alcohol, </w:t>
      </w:r>
      <w:r w:rsidR="007C2C7B">
        <w:t xml:space="preserve">oil seeds, </w:t>
      </w:r>
      <w:r w:rsidR="00ED413C">
        <w:t xml:space="preserve">and </w:t>
      </w:r>
      <w:r w:rsidR="007C2C7B">
        <w:t>cereals</w:t>
      </w:r>
      <w:r w:rsidR="00ED413C">
        <w:t xml:space="preserve"> </w:t>
      </w:r>
      <w:r w:rsidR="007C2C7B">
        <w:t xml:space="preserve">categories, </w:t>
      </w:r>
      <w:r>
        <w:t xml:space="preserve">significant growth </w:t>
      </w:r>
      <w:r w:rsidR="00EA13CE">
        <w:t>was</w:t>
      </w:r>
      <w:r>
        <w:t xml:space="preserve"> seen in the </w:t>
      </w:r>
      <w:r w:rsidR="007636F2">
        <w:t>iron and steel art</w:t>
      </w:r>
      <w:r w:rsidR="00EB0062">
        <w:t xml:space="preserve">icles category and the </w:t>
      </w:r>
      <w:r w:rsidR="00ED413C">
        <w:t>meat and e</w:t>
      </w:r>
      <w:r w:rsidR="00617A2D">
        <w:t xml:space="preserve">dible meat offal </w:t>
      </w:r>
      <w:r>
        <w:t xml:space="preserve">category, </w:t>
      </w:r>
      <w:r w:rsidR="00EA13CE">
        <w:t xml:space="preserve">which </w:t>
      </w:r>
      <w:r>
        <w:t>increased by $</w:t>
      </w:r>
      <w:r w:rsidR="00384442">
        <w:t>2</w:t>
      </w:r>
      <w:r w:rsidR="000E226E">
        <w:t>6</w:t>
      </w:r>
      <w:r>
        <w:t xml:space="preserve"> million and $</w:t>
      </w:r>
      <w:r w:rsidR="00EB0062">
        <w:t>19</w:t>
      </w:r>
      <w:r>
        <w:t xml:space="preserve"> million respectively;</w:t>
      </w:r>
    </w:p>
    <w:p w14:paraId="5984BA9D" w14:textId="26F93F15" w:rsidR="00623A61" w:rsidRDefault="00623A61" w:rsidP="006A4B09">
      <w:pPr>
        <w:spacing w:after="0" w:line="240" w:lineRule="auto"/>
      </w:pPr>
    </w:p>
    <w:p w14:paraId="2CFC4E92" w14:textId="1E4D5791" w:rsidR="001539F4" w:rsidRDefault="00935A36" w:rsidP="00935A36">
      <w:pPr>
        <w:pStyle w:val="ListParagraph"/>
        <w:numPr>
          <w:ilvl w:val="0"/>
          <w:numId w:val="1"/>
        </w:numPr>
        <w:spacing w:after="0" w:line="240" w:lineRule="auto"/>
      </w:pPr>
      <w:r w:rsidRPr="00380CB1">
        <w:t>Exports to C</w:t>
      </w:r>
      <w:r>
        <w:t>anada</w:t>
      </w:r>
      <w:r w:rsidRPr="00380CB1">
        <w:t>,</w:t>
      </w:r>
      <w:r>
        <w:t xml:space="preserve"> Japan, Mexico, and Germany</w:t>
      </w:r>
      <w:r w:rsidRPr="00380CB1">
        <w:t xml:space="preserve"> experienced significant declines, $</w:t>
      </w:r>
      <w:r>
        <w:t>288</w:t>
      </w:r>
      <w:r w:rsidRPr="00380CB1">
        <w:t xml:space="preserve"> million, $</w:t>
      </w:r>
      <w:r>
        <w:t>120</w:t>
      </w:r>
      <w:r w:rsidRPr="00380CB1">
        <w:t xml:space="preserve"> million, </w:t>
      </w:r>
      <w:r>
        <w:t>$</w:t>
      </w:r>
      <w:r w:rsidR="007831CC">
        <w:t xml:space="preserve">116 million, </w:t>
      </w:r>
      <w:r w:rsidRPr="00380CB1">
        <w:t>and $</w:t>
      </w:r>
      <w:r w:rsidR="007831CC">
        <w:t>114</w:t>
      </w:r>
      <w:r w:rsidRPr="00380CB1">
        <w:t xml:space="preserve"> million respectively</w:t>
      </w:r>
      <w:r w:rsidR="00F35B1C">
        <w:t>;</w:t>
      </w:r>
    </w:p>
    <w:p w14:paraId="665F0B1C" w14:textId="77777777" w:rsidR="001539F4" w:rsidRDefault="001539F4" w:rsidP="001539F4">
      <w:pPr>
        <w:pStyle w:val="ListParagraph"/>
      </w:pPr>
    </w:p>
    <w:p w14:paraId="07917E5A" w14:textId="3B12C2BA" w:rsidR="000E6426" w:rsidRPr="00380CB1" w:rsidRDefault="00935A36" w:rsidP="00DB6006">
      <w:pPr>
        <w:pStyle w:val="ListParagraph"/>
        <w:numPr>
          <w:ilvl w:val="0"/>
          <w:numId w:val="1"/>
        </w:numPr>
        <w:spacing w:after="0" w:line="240" w:lineRule="auto"/>
      </w:pPr>
      <w:r w:rsidRPr="00380CB1">
        <w:t xml:space="preserve">Despite </w:t>
      </w:r>
      <w:r w:rsidR="001539F4">
        <w:t xml:space="preserve">the </w:t>
      </w:r>
      <w:r w:rsidRPr="00380CB1">
        <w:t xml:space="preserve">significant reductions, </w:t>
      </w:r>
      <w:r w:rsidR="006A4B09" w:rsidRPr="00380CB1">
        <w:t>Mexico</w:t>
      </w:r>
      <w:r w:rsidR="00BB340C">
        <w:t>, Canada, and Japan</w:t>
      </w:r>
      <w:r w:rsidR="006A4B09" w:rsidRPr="00380CB1">
        <w:t xml:space="preserve"> continu</w:t>
      </w:r>
      <w:r w:rsidR="00BB340C">
        <w:t>e</w:t>
      </w:r>
      <w:r w:rsidR="006A4B09" w:rsidRPr="00380CB1">
        <w:t xml:space="preserve"> to be Kansas’ </w:t>
      </w:r>
      <w:r w:rsidR="00BB340C">
        <w:t xml:space="preserve">top three </w:t>
      </w:r>
      <w:r w:rsidR="006A4B09" w:rsidRPr="00380CB1">
        <w:t>export destination</w:t>
      </w:r>
      <w:r w:rsidR="0020288A">
        <w:t>s</w:t>
      </w:r>
      <w:r w:rsidR="006A4B09" w:rsidRPr="00380CB1">
        <w:t>, total</w:t>
      </w:r>
      <w:r w:rsidR="00EA13CE" w:rsidRPr="00380CB1">
        <w:t>ing</w:t>
      </w:r>
      <w:r w:rsidR="006A4B09" w:rsidRPr="00380CB1">
        <w:t xml:space="preserve"> $</w:t>
      </w:r>
      <w:r w:rsidR="005318C1" w:rsidRPr="00380CB1">
        <w:t>2.</w:t>
      </w:r>
      <w:r w:rsidR="001C6CE8">
        <w:t>1</w:t>
      </w:r>
      <w:r w:rsidR="002B1724" w:rsidRPr="00380CB1">
        <w:t xml:space="preserve"> billion</w:t>
      </w:r>
      <w:r w:rsidR="0020288A">
        <w:t xml:space="preserve">, </w:t>
      </w:r>
      <w:r w:rsidR="00420227">
        <w:t>$</w:t>
      </w:r>
      <w:r w:rsidR="0020288A">
        <w:t>1.6</w:t>
      </w:r>
      <w:r w:rsidR="00420227">
        <w:t xml:space="preserve"> billion</w:t>
      </w:r>
      <w:r w:rsidR="0020288A">
        <w:t>, and $911</w:t>
      </w:r>
      <w:r w:rsidR="00420227">
        <w:t xml:space="preserve"> million respectively;</w:t>
      </w:r>
    </w:p>
    <w:p w14:paraId="6955B6BE" w14:textId="77777777" w:rsidR="00623A61" w:rsidRPr="00355D66" w:rsidRDefault="00623A61" w:rsidP="00623A61">
      <w:pPr>
        <w:spacing w:after="0" w:line="240" w:lineRule="auto"/>
      </w:pPr>
    </w:p>
    <w:p w14:paraId="6E8EB465" w14:textId="58689175" w:rsidR="00542D4F" w:rsidRDefault="00623A61" w:rsidP="00E32391">
      <w:pPr>
        <w:pStyle w:val="ListParagraph"/>
        <w:numPr>
          <w:ilvl w:val="0"/>
          <w:numId w:val="1"/>
        </w:numPr>
        <w:spacing w:after="0" w:line="240" w:lineRule="auto"/>
      </w:pPr>
      <w:r w:rsidRPr="00380CB1">
        <w:t xml:space="preserve">Exports to </w:t>
      </w:r>
      <w:r w:rsidR="00EE1D73" w:rsidRPr="00380CB1">
        <w:t xml:space="preserve">China, </w:t>
      </w:r>
      <w:r w:rsidR="009D03F1">
        <w:t>Austr</w:t>
      </w:r>
      <w:r w:rsidR="00476C15">
        <w:t>a</w:t>
      </w:r>
      <w:r w:rsidR="009D03F1">
        <w:t>lia</w:t>
      </w:r>
      <w:r w:rsidR="00AB6819" w:rsidRPr="00380CB1">
        <w:t>,</w:t>
      </w:r>
      <w:r w:rsidR="00EE1D73" w:rsidRPr="00380CB1">
        <w:t xml:space="preserve"> and </w:t>
      </w:r>
      <w:r w:rsidR="002F3165">
        <w:t>Vietnam</w:t>
      </w:r>
      <w:r w:rsidR="007E0609" w:rsidRPr="00380CB1">
        <w:t xml:space="preserve"> experienced </w:t>
      </w:r>
      <w:r w:rsidR="00E83F74" w:rsidRPr="00380CB1">
        <w:t xml:space="preserve">significant </w:t>
      </w:r>
      <w:r w:rsidR="00E32391">
        <w:t>growth</w:t>
      </w:r>
      <w:r w:rsidR="00E83F74" w:rsidRPr="00380CB1">
        <w:t>, $1</w:t>
      </w:r>
      <w:r w:rsidR="00E32391">
        <w:t>84</w:t>
      </w:r>
      <w:r w:rsidR="00E83F74" w:rsidRPr="00380CB1">
        <w:t xml:space="preserve"> million, $</w:t>
      </w:r>
      <w:r w:rsidR="00E32391">
        <w:t>46</w:t>
      </w:r>
      <w:r w:rsidR="00E83F74" w:rsidRPr="00380CB1">
        <w:t xml:space="preserve"> million, and $</w:t>
      </w:r>
      <w:r w:rsidR="00E32391">
        <w:t>3</w:t>
      </w:r>
      <w:r w:rsidR="00380CB1" w:rsidRPr="00380CB1">
        <w:t>6</w:t>
      </w:r>
      <w:r w:rsidR="00E83F74" w:rsidRPr="00380CB1">
        <w:t xml:space="preserve"> million respectively. </w:t>
      </w:r>
      <w:r w:rsidR="00DB6513">
        <w:t xml:space="preserve">For China, the increase came from the </w:t>
      </w:r>
      <w:r w:rsidR="0058436F">
        <w:t xml:space="preserve">agricultural </w:t>
      </w:r>
      <w:r w:rsidR="00F40E78">
        <w:t>commodities and meat</w:t>
      </w:r>
      <w:r w:rsidR="00226C45">
        <w:t xml:space="preserve"> categor</w:t>
      </w:r>
      <w:r w:rsidR="00F6757A">
        <w:t>ies</w:t>
      </w:r>
      <w:r w:rsidR="00226C45">
        <w:t xml:space="preserve"> and the electric machinery cat</w:t>
      </w:r>
      <w:r w:rsidR="00F6757A">
        <w:t xml:space="preserve">egory. </w:t>
      </w:r>
      <w:r w:rsidR="00F863C8">
        <w:t>For Austr</w:t>
      </w:r>
      <w:r w:rsidR="00476C15">
        <w:t>a</w:t>
      </w:r>
      <w:r w:rsidR="00F863C8">
        <w:t xml:space="preserve">lia, the growth came from the </w:t>
      </w:r>
      <w:r w:rsidR="006A4394">
        <w:t xml:space="preserve">industrial machinery and aircraft sectors. </w:t>
      </w:r>
      <w:r w:rsidR="00F6757A">
        <w:t xml:space="preserve">For Vietnam, </w:t>
      </w:r>
      <w:r w:rsidR="00852C72">
        <w:t xml:space="preserve">the </w:t>
      </w:r>
      <w:r w:rsidR="00F61429">
        <w:t xml:space="preserve">addition came from the </w:t>
      </w:r>
      <w:r w:rsidR="002372D0">
        <w:t xml:space="preserve">oil seeds and food industry residues </w:t>
      </w:r>
      <w:r w:rsidR="00ED1135">
        <w:t>classification</w:t>
      </w:r>
      <w:r w:rsidR="00C86B20">
        <w:t>s;</w:t>
      </w:r>
    </w:p>
    <w:p w14:paraId="19EB8F18" w14:textId="77777777" w:rsidR="00E32391" w:rsidRPr="00355D66" w:rsidRDefault="00E32391" w:rsidP="00E32391">
      <w:pPr>
        <w:spacing w:after="0" w:line="240" w:lineRule="auto"/>
      </w:pPr>
    </w:p>
    <w:p w14:paraId="73AB7489" w14:textId="2ADDEE93" w:rsidR="00542D4F" w:rsidRPr="00355D66" w:rsidRDefault="00542D4F" w:rsidP="00542D4F">
      <w:pPr>
        <w:pStyle w:val="ListParagraph"/>
        <w:numPr>
          <w:ilvl w:val="0"/>
          <w:numId w:val="1"/>
        </w:numPr>
        <w:spacing w:after="0" w:line="240" w:lineRule="auto"/>
      </w:pPr>
      <w:r w:rsidRPr="00355D66">
        <w:t xml:space="preserve">The top five markets </w:t>
      </w:r>
      <w:r w:rsidR="00EA13CE">
        <w:rPr>
          <w:noProof/>
        </w:rPr>
        <w:t>are</w:t>
      </w:r>
      <w:r w:rsidRPr="00355D66">
        <w:t xml:space="preserve"> Mexico, </w:t>
      </w:r>
      <w:r w:rsidR="002040D7" w:rsidRPr="00355D66">
        <w:t xml:space="preserve">Canada, </w:t>
      </w:r>
      <w:r w:rsidRPr="00355D66">
        <w:t xml:space="preserve">Japan, </w:t>
      </w:r>
      <w:r w:rsidR="004B6A2F" w:rsidRPr="00355D66">
        <w:t xml:space="preserve">China, </w:t>
      </w:r>
      <w:r w:rsidRPr="00355D66">
        <w:t>and</w:t>
      </w:r>
      <w:r w:rsidR="004B6A2F" w:rsidRPr="00355D66">
        <w:t xml:space="preserve"> </w:t>
      </w:r>
      <w:r w:rsidR="002546CA">
        <w:t>the Republic of Korea</w:t>
      </w:r>
      <w:r w:rsidR="002040D7" w:rsidRPr="00355D66">
        <w:t xml:space="preserve">. </w:t>
      </w:r>
      <w:r w:rsidRPr="00355D66">
        <w:t>Comb</w:t>
      </w:r>
      <w:r w:rsidR="004B6A2F" w:rsidRPr="00355D66">
        <w:t xml:space="preserve">ined, the group accounted for </w:t>
      </w:r>
      <w:r w:rsidR="00F745F4">
        <w:t>56</w:t>
      </w:r>
      <w:r w:rsidR="002F4346">
        <w:t xml:space="preserve"> </w:t>
      </w:r>
      <w:r w:rsidRPr="00355D66">
        <w:t xml:space="preserve">percent of total exports. The </w:t>
      </w:r>
      <w:r w:rsidR="004B6A2F" w:rsidRPr="00355D66">
        <w:t>top</w:t>
      </w:r>
      <w:r w:rsidR="002040D7" w:rsidRPr="00355D66">
        <w:t xml:space="preserve"> ten markets accounted for </w:t>
      </w:r>
      <w:r w:rsidR="002B1BAA">
        <w:t>71</w:t>
      </w:r>
      <w:r w:rsidRPr="00355D66">
        <w:t xml:space="preserve"> percent of total exports. </w:t>
      </w:r>
    </w:p>
    <w:p w14:paraId="13A290B3" w14:textId="77777777" w:rsidR="00542D4F" w:rsidRPr="00355D66" w:rsidRDefault="00542D4F" w:rsidP="00542D4F">
      <w:pPr>
        <w:spacing w:after="0" w:line="240" w:lineRule="auto"/>
      </w:pPr>
    </w:p>
    <w:p w14:paraId="5E95F047" w14:textId="748953A9" w:rsidR="005F6C06" w:rsidRDefault="00542D4F" w:rsidP="00542D4F">
      <w:pPr>
        <w:spacing w:after="0" w:line="240" w:lineRule="auto"/>
      </w:pPr>
      <w:r>
        <w:t>The following pa</w:t>
      </w:r>
      <w:r w:rsidR="007531E4">
        <w:t>ge provides charts of the top ten</w:t>
      </w:r>
      <w:r>
        <w:t xml:space="preserve"> expo</w:t>
      </w:r>
      <w:r w:rsidR="007531E4">
        <w:t>rt markets as well as the top ten</w:t>
      </w:r>
      <w:r>
        <w:t xml:space="preserve"> commodity </w:t>
      </w:r>
      <w:r w:rsidR="004B6A2F">
        <w:t>classifications exported in 20</w:t>
      </w:r>
      <w:r w:rsidR="00F745F4">
        <w:t>20</w:t>
      </w:r>
      <w:r>
        <w:t>.</w:t>
      </w:r>
    </w:p>
    <w:p w14:paraId="392FB80C" w14:textId="41C62422" w:rsidR="00DF79E3" w:rsidRDefault="00DF79E3" w:rsidP="00542D4F">
      <w:pPr>
        <w:spacing w:after="0" w:line="240" w:lineRule="auto"/>
      </w:pPr>
    </w:p>
    <w:p w14:paraId="69650BBC" w14:textId="1CD312C3" w:rsidR="002F4346" w:rsidRDefault="002F4346" w:rsidP="00542D4F">
      <w:pPr>
        <w:spacing w:after="0" w:line="240" w:lineRule="auto"/>
      </w:pPr>
    </w:p>
    <w:p w14:paraId="688393E9" w14:textId="77777777" w:rsidR="00656B06" w:rsidRDefault="00656B06" w:rsidP="00542D4F">
      <w:pPr>
        <w:spacing w:after="0" w:line="240" w:lineRule="auto"/>
      </w:pPr>
    </w:p>
    <w:p w14:paraId="1FA23242" w14:textId="77777777" w:rsidR="002F4346" w:rsidRDefault="002F4346" w:rsidP="00542D4F">
      <w:pPr>
        <w:spacing w:after="0" w:line="240" w:lineRule="auto"/>
      </w:pPr>
    </w:p>
    <w:p w14:paraId="14B06E48" w14:textId="05B42CE4" w:rsidR="002F4346" w:rsidRPr="0091778C" w:rsidRDefault="00534357" w:rsidP="0091778C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A94767">
        <w:rPr>
          <w:b/>
          <w:sz w:val="32"/>
          <w:szCs w:val="32"/>
        </w:rPr>
        <w:t>20</w:t>
      </w:r>
      <w:r w:rsidRPr="00A044C1">
        <w:rPr>
          <w:b/>
          <w:sz w:val="32"/>
          <w:szCs w:val="32"/>
        </w:rPr>
        <w:t xml:space="preserve"> Kansas Exports Top Ten Markets</w:t>
      </w:r>
    </w:p>
    <w:p w14:paraId="7BA46487" w14:textId="6CB17FBC" w:rsidR="002F4346" w:rsidRDefault="002F4346" w:rsidP="00534357">
      <w:pPr>
        <w:spacing w:after="0" w:line="240" w:lineRule="auto"/>
      </w:pPr>
    </w:p>
    <w:tbl>
      <w:tblPr>
        <w:tblW w:w="8823" w:type="dxa"/>
        <w:tblLook w:val="04A0" w:firstRow="1" w:lastRow="0" w:firstColumn="1" w:lastColumn="0" w:noHBand="0" w:noVBand="1"/>
      </w:tblPr>
      <w:tblGrid>
        <w:gridCol w:w="2605"/>
        <w:gridCol w:w="1260"/>
        <w:gridCol w:w="1260"/>
        <w:gridCol w:w="1260"/>
        <w:gridCol w:w="1260"/>
        <w:gridCol w:w="1170"/>
        <w:gridCol w:w="8"/>
      </w:tblGrid>
      <w:tr w:rsidR="00A94767" w:rsidRPr="00A94767" w14:paraId="713EE60F" w14:textId="77777777" w:rsidTr="00A94767">
        <w:trPr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097F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416E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7C8D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36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0BC9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Exports (Millions)</w:t>
            </w:r>
          </w:p>
        </w:tc>
      </w:tr>
      <w:tr w:rsidR="00A94767" w:rsidRPr="00A94767" w14:paraId="0356F379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50CBB8F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Country (with 2019 rank)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484209D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KS Exports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BE3DB55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2019-2020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6F6243D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27D1619A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bottom"/>
            <w:hideMark/>
          </w:tcPr>
          <w:p w14:paraId="269A2A5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</w:tr>
      <w:tr w:rsidR="00A94767" w:rsidRPr="00A94767" w14:paraId="6DCCE20C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0E5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1 Mexico (1)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385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19.99%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0F9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-5.27%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9BA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$2,078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504F3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$2,194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BA95A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$2,105</w:t>
            </w:r>
          </w:p>
        </w:tc>
      </w:tr>
      <w:tr w:rsidR="00A94767" w:rsidRPr="00A94767" w14:paraId="265855F1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808C60A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2 Canada (2)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3A26C3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15.72%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91D3F4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-14.98%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210AE4D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$1,635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4FBAC6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$1,923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611723D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A94767">
              <w:rPr>
                <w:rFonts w:eastAsia="Times New Roman" w:cs="Arial"/>
                <w:color w:val="000000"/>
              </w:rPr>
              <w:t>$1,948</w:t>
            </w:r>
          </w:p>
        </w:tc>
      </w:tr>
      <w:tr w:rsidR="00A94767" w:rsidRPr="00A94767" w14:paraId="20D33B25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5D8D7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3 Japan (3)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853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8.76%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C2BC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-11.66%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76D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$911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206C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$1,031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B4E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$1,008</w:t>
            </w:r>
          </w:p>
        </w:tc>
      </w:tr>
      <w:tr w:rsidR="00A94767" w:rsidRPr="00A94767" w14:paraId="50FFF56E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290AE84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4 China (4)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383E10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7.08%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5BE883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33.27%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1F3BAD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E52938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F1A2D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$657</w:t>
            </w:r>
          </w:p>
        </w:tc>
      </w:tr>
      <w:tr w:rsidR="00A94767" w:rsidRPr="00A94767" w14:paraId="207CE966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75E13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 xml:space="preserve">5 Republic </w:t>
            </w:r>
            <w:proofErr w:type="gramStart"/>
            <w:r w:rsidRPr="00A94767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A94767">
              <w:rPr>
                <w:rFonts w:ascii="Calibri" w:eastAsia="Times New Roman" w:hAnsi="Calibri" w:cs="Calibri"/>
                <w:color w:val="000000"/>
              </w:rPr>
              <w:t xml:space="preserve"> Korea (7)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A71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4.06%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5F87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6.75%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C28C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30E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$395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EE2B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$413</w:t>
            </w:r>
          </w:p>
        </w:tc>
      </w:tr>
      <w:tr w:rsidR="00A94767" w:rsidRPr="00A94767" w14:paraId="79C42CD6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312B89B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6 Germany (5)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041083F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3.79%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9E62F2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-22.52%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EAAE174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C97D82A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84C7F8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$475</w:t>
            </w:r>
          </w:p>
        </w:tc>
      </w:tr>
      <w:tr w:rsidR="00A94767" w:rsidRPr="00A94767" w14:paraId="72DAC463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8F7B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7 United Kingdom (6)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1525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3.58%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F102D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-19.57%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38D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1CD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$463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5FA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$528</w:t>
            </w:r>
          </w:p>
        </w:tc>
      </w:tr>
      <w:tr w:rsidR="00A94767" w:rsidRPr="00A94767" w14:paraId="4737F272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DACFCAE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8 Brazil (9)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0667CA7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2.81%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6C8B32F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8.03%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C8F0BD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6C5D90C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24861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$183</w:t>
            </w:r>
          </w:p>
        </w:tc>
      </w:tr>
      <w:tr w:rsidR="00A94767" w:rsidRPr="00A94767" w14:paraId="388EDA13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E91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9 Singapore (8)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E90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2.67%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864D6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-24.48%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5CA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C56B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$368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6D74F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$336</w:t>
            </w:r>
          </w:p>
        </w:tc>
      </w:tr>
      <w:tr w:rsidR="00A94767" w:rsidRPr="00A94767" w14:paraId="4F5780CF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B50E5B7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10 Taiwan (10)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9897D04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2.50%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A8DCCA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4.19%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CF035F2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6526F9C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390A6B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$228</w:t>
            </w:r>
          </w:p>
        </w:tc>
      </w:tr>
      <w:tr w:rsidR="00A94767" w:rsidRPr="00A94767" w14:paraId="5CD2E7E1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5AFD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Top 10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09B4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70.95%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237A1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-7.24%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FBD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$7,378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7DF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$7,954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2C5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$7,882</w:t>
            </w:r>
          </w:p>
        </w:tc>
      </w:tr>
      <w:tr w:rsidR="00A94767" w:rsidRPr="00A94767" w14:paraId="0D0D85DA" w14:textId="77777777" w:rsidTr="00A94767">
        <w:trPr>
          <w:gridAfter w:val="1"/>
          <w:wAfter w:w="8" w:type="dxa"/>
          <w:trHeight w:val="300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2169575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94767">
              <w:rPr>
                <w:rFonts w:ascii="Calibri" w:eastAsia="Times New Roman" w:hAnsi="Calibri" w:cs="Calibri"/>
                <w:b/>
                <w:bCs/>
                <w:color w:val="000000"/>
              </w:rPr>
              <w:t>Total Kansas Exports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7706080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D32F4C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-10.80%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6E54DCE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$10,399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E6DE08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$11,659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4E0BF09" w14:textId="77777777" w:rsidR="00A94767" w:rsidRPr="00A94767" w:rsidRDefault="00A94767" w:rsidP="00A947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94767">
              <w:rPr>
                <w:rFonts w:ascii="Calibri" w:eastAsia="Times New Roman" w:hAnsi="Calibri" w:cs="Calibri"/>
                <w:color w:val="000000"/>
              </w:rPr>
              <w:t>$11,582</w:t>
            </w:r>
          </w:p>
        </w:tc>
      </w:tr>
    </w:tbl>
    <w:p w14:paraId="707E3054" w14:textId="3410E90C" w:rsidR="002F4346" w:rsidRDefault="002F4346" w:rsidP="00534357">
      <w:pPr>
        <w:spacing w:after="0" w:line="240" w:lineRule="auto"/>
      </w:pPr>
    </w:p>
    <w:p w14:paraId="07C945CF" w14:textId="4F87BE83" w:rsidR="002F4346" w:rsidRDefault="002F4346" w:rsidP="00534357">
      <w:pPr>
        <w:spacing w:after="0" w:line="240" w:lineRule="auto"/>
      </w:pPr>
    </w:p>
    <w:p w14:paraId="638FA5C4" w14:textId="18D735F5" w:rsidR="002F4346" w:rsidRDefault="002F4346" w:rsidP="00534357">
      <w:pPr>
        <w:spacing w:after="0" w:line="240" w:lineRule="auto"/>
      </w:pPr>
    </w:p>
    <w:p w14:paraId="133DC51C" w14:textId="77777777" w:rsidR="002F4346" w:rsidRDefault="002F4346" w:rsidP="00534357">
      <w:pPr>
        <w:spacing w:after="0" w:line="240" w:lineRule="auto"/>
      </w:pPr>
    </w:p>
    <w:p w14:paraId="72BC99AC" w14:textId="1344F851" w:rsidR="00801EC9" w:rsidRDefault="00534357" w:rsidP="00B10E10">
      <w:pPr>
        <w:spacing w:after="0" w:line="240" w:lineRule="auto"/>
        <w:jc w:val="center"/>
        <w:rPr>
          <w:b/>
          <w:sz w:val="32"/>
          <w:szCs w:val="32"/>
        </w:rPr>
      </w:pPr>
      <w:r w:rsidRPr="00A044C1">
        <w:rPr>
          <w:b/>
          <w:sz w:val="32"/>
          <w:szCs w:val="32"/>
        </w:rPr>
        <w:t>20</w:t>
      </w:r>
      <w:r w:rsidR="00E17128">
        <w:rPr>
          <w:b/>
          <w:sz w:val="32"/>
          <w:szCs w:val="32"/>
        </w:rPr>
        <w:t>20</w:t>
      </w:r>
      <w:r w:rsidRPr="00A044C1">
        <w:rPr>
          <w:b/>
          <w:sz w:val="32"/>
          <w:szCs w:val="32"/>
        </w:rPr>
        <w:t xml:space="preserve"> Kansas Exports Top </w:t>
      </w:r>
      <w:r>
        <w:rPr>
          <w:b/>
          <w:sz w:val="32"/>
          <w:szCs w:val="32"/>
        </w:rPr>
        <w:t>Ten</w:t>
      </w:r>
      <w:r w:rsidRPr="00A044C1">
        <w:rPr>
          <w:b/>
          <w:sz w:val="32"/>
          <w:szCs w:val="32"/>
        </w:rPr>
        <w:t xml:space="preserve"> Commodity Classifications</w:t>
      </w:r>
    </w:p>
    <w:p w14:paraId="7B1D1B7E" w14:textId="26B4B852" w:rsidR="00E17128" w:rsidRDefault="00E17128" w:rsidP="0053435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8725" w:type="dxa"/>
        <w:tblLook w:val="04A0" w:firstRow="1" w:lastRow="0" w:firstColumn="1" w:lastColumn="0" w:noHBand="0" w:noVBand="1"/>
      </w:tblPr>
      <w:tblGrid>
        <w:gridCol w:w="3191"/>
        <w:gridCol w:w="1245"/>
        <w:gridCol w:w="1319"/>
        <w:gridCol w:w="990"/>
        <w:gridCol w:w="1080"/>
        <w:gridCol w:w="940"/>
      </w:tblGrid>
      <w:tr w:rsidR="00E17128" w:rsidRPr="00E17128" w14:paraId="3B3119FD" w14:textId="77777777" w:rsidTr="00E17128">
        <w:trPr>
          <w:trHeight w:val="30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6997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326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% of Total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D6C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C8AA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Exports (Millions)</w:t>
            </w:r>
          </w:p>
        </w:tc>
      </w:tr>
      <w:tr w:rsidR="00E17128" w:rsidRPr="00E17128" w14:paraId="430C0B3F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5BEE48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Commodity Classification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7515B1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KS Exports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7216C7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2019-2020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84AA730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02FC9862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2F6EA711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</w:tr>
      <w:tr w:rsidR="00E17128" w:rsidRPr="00E17128" w14:paraId="5E91B94A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5916" w14:textId="0EA2E0C9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 xml:space="preserve">Aircraft </w:t>
            </w:r>
            <w:r>
              <w:rPr>
                <w:rFonts w:ascii="Calibri" w:eastAsia="Times New Roman" w:hAnsi="Calibri" w:cs="Calibri"/>
                <w:color w:val="000000"/>
              </w:rPr>
              <w:t>&amp;</w:t>
            </w:r>
            <w:r w:rsidRPr="00E17128">
              <w:rPr>
                <w:rFonts w:ascii="Calibri" w:eastAsia="Times New Roman" w:hAnsi="Calibri" w:cs="Calibri"/>
                <w:color w:val="000000"/>
              </w:rPr>
              <w:t xml:space="preserve"> Parts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7BB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16.24%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D8D81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-26.76%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A35CD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ED7B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$2,306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59E2B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$2,376</w:t>
            </w:r>
          </w:p>
        </w:tc>
      </w:tr>
      <w:tr w:rsidR="00E17128" w:rsidRPr="00E17128" w14:paraId="5902DC79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77E2FFD" w14:textId="4ED9595F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 xml:space="preserve">Meat </w:t>
            </w:r>
            <w:r>
              <w:rPr>
                <w:rFonts w:ascii="Calibri" w:eastAsia="Times New Roman" w:hAnsi="Calibri" w:cs="Calibri"/>
                <w:color w:val="000000"/>
              </w:rPr>
              <w:t>&amp;</w:t>
            </w:r>
            <w:r w:rsidRPr="00E17128">
              <w:rPr>
                <w:rFonts w:ascii="Calibri" w:eastAsia="Times New Roman" w:hAnsi="Calibri" w:cs="Calibri"/>
                <w:color w:val="000000"/>
              </w:rPr>
              <w:t xml:space="preserve"> Edible Meat Offal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F03CA29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15.42%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F6F6B2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1.22%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06E6BF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731CB4A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C508B7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$1,694</w:t>
            </w:r>
          </w:p>
        </w:tc>
      </w:tr>
      <w:tr w:rsidR="00E17128" w:rsidRPr="00E17128" w14:paraId="3FBBE9A0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0E70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Cereals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C901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9.60%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052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4.79%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2008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C368F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$952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BFCD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$860</w:t>
            </w:r>
          </w:p>
        </w:tc>
      </w:tr>
      <w:tr w:rsidR="00E17128" w:rsidRPr="00E17128" w14:paraId="69640C61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6FE7AEA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Industrial Machinery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BBE2A0B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8.93%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95FA2F8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-13.05%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4FBB5B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77650F2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$1,068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10C213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$1,161</w:t>
            </w:r>
          </w:p>
        </w:tc>
      </w:tr>
      <w:tr w:rsidR="00E17128" w:rsidRPr="00E17128" w14:paraId="5FCD7A90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BE2AB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 xml:space="preserve">Electric Machinery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3968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8.17%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D1A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-9.91%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4674E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BF64D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$943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4AF1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$852</w:t>
            </w:r>
          </w:p>
        </w:tc>
      </w:tr>
      <w:tr w:rsidR="00E17128" w:rsidRPr="00E17128" w14:paraId="1177BEC8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8E3E08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Oil Seeds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92931FA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6.16%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C6EE74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11.29%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5AACBF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45F4EF1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76464B1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$539</w:t>
            </w:r>
          </w:p>
        </w:tc>
      </w:tr>
      <w:tr w:rsidR="00E17128" w:rsidRPr="00E17128" w14:paraId="320AFB71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C86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Special Classification Provisions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4D9D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3.64%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5D19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-35.43%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0527D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470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$585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775B2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$600</w:t>
            </w:r>
          </w:p>
        </w:tc>
      </w:tr>
      <w:tr w:rsidR="00E17128" w:rsidRPr="00E17128" w14:paraId="10CCD95F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A5CE65B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Vehicles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8FE15C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3.29%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695B87A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-16.93%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8D2E39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D728F7F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EF7BAFA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$331</w:t>
            </w:r>
          </w:p>
        </w:tc>
      </w:tr>
      <w:tr w:rsidR="00E17128" w:rsidRPr="00E17128" w14:paraId="7E9929CD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BCF1B" w14:textId="0C7BF271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 xml:space="preserve">Optic </w:t>
            </w:r>
            <w:r>
              <w:rPr>
                <w:rFonts w:ascii="Calibri" w:eastAsia="Times New Roman" w:hAnsi="Calibri" w:cs="Calibri"/>
                <w:color w:val="000000"/>
              </w:rPr>
              <w:t>&amp;</w:t>
            </w:r>
            <w:r w:rsidRPr="00E17128">
              <w:rPr>
                <w:rFonts w:ascii="Calibri" w:eastAsia="Times New Roman" w:hAnsi="Calibri" w:cs="Calibri"/>
                <w:color w:val="000000"/>
              </w:rPr>
              <w:t xml:space="preserve"> Medical Instruments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FE1F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2.98%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D7C2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0.82%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07EB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37F10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E6799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$263</w:t>
            </w:r>
          </w:p>
        </w:tc>
      </w:tr>
      <w:tr w:rsidR="00E17128" w:rsidRPr="00E17128" w14:paraId="156C3905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4E599C7" w14:textId="7D084F73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 xml:space="preserve">Food Industry Residues </w:t>
            </w:r>
            <w:r>
              <w:rPr>
                <w:rFonts w:ascii="Calibri" w:eastAsia="Times New Roman" w:hAnsi="Calibri" w:cs="Calibri"/>
                <w:color w:val="000000"/>
              </w:rPr>
              <w:t>&amp;</w:t>
            </w:r>
            <w:r w:rsidRPr="00E17128">
              <w:rPr>
                <w:rFonts w:ascii="Calibri" w:eastAsia="Times New Roman" w:hAnsi="Calibri" w:cs="Calibri"/>
                <w:color w:val="000000"/>
              </w:rPr>
              <w:t xml:space="preserve"> Waste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7494E5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2.59%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24E704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-8.15%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635975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0FB34F4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02B3A67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$274</w:t>
            </w:r>
          </w:p>
        </w:tc>
      </w:tr>
      <w:tr w:rsidR="00E17128" w:rsidRPr="00E17128" w14:paraId="02E3007D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1FC0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Top 10 Total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F408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77.00%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968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-11.28%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4E53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$8,008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0901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$9,026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405C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$8,951</w:t>
            </w:r>
          </w:p>
        </w:tc>
      </w:tr>
      <w:tr w:rsidR="00E17128" w:rsidRPr="00E17128" w14:paraId="459F95C1" w14:textId="77777777" w:rsidTr="00E17128">
        <w:trPr>
          <w:trHeight w:val="300"/>
        </w:trPr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99660A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7128">
              <w:rPr>
                <w:rFonts w:ascii="Calibri" w:eastAsia="Times New Roman" w:hAnsi="Calibri" w:cs="Calibri"/>
                <w:b/>
                <w:bCs/>
                <w:color w:val="000000"/>
              </w:rPr>
              <w:t>Total Kansas Exports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06A4B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0EE9B3E2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-10.80%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6A6AFF5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$10,399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3B90F17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$11,659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D84AAF6" w14:textId="77777777" w:rsidR="00E17128" w:rsidRPr="00E17128" w:rsidRDefault="00E17128" w:rsidP="00E17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7128">
              <w:rPr>
                <w:rFonts w:ascii="Calibri" w:eastAsia="Times New Roman" w:hAnsi="Calibri" w:cs="Calibri"/>
                <w:color w:val="000000"/>
              </w:rPr>
              <w:t>$11,582</w:t>
            </w:r>
          </w:p>
        </w:tc>
      </w:tr>
    </w:tbl>
    <w:p w14:paraId="7E0FEBE4" w14:textId="77777777" w:rsidR="00E17128" w:rsidRDefault="00E17128" w:rsidP="00534357">
      <w:pPr>
        <w:spacing w:after="0" w:line="240" w:lineRule="auto"/>
        <w:jc w:val="center"/>
        <w:rPr>
          <w:b/>
          <w:sz w:val="32"/>
          <w:szCs w:val="32"/>
        </w:rPr>
      </w:pPr>
    </w:p>
    <w:sectPr w:rsidR="00E17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6CC9"/>
    <w:multiLevelType w:val="hybridMultilevel"/>
    <w:tmpl w:val="3C0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04CBA"/>
    <w:multiLevelType w:val="hybridMultilevel"/>
    <w:tmpl w:val="64F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0szAwsDAzNjYytjBW0lEKTi0uzszPAykwtKgFACTEoZwtAAAA"/>
  </w:docVars>
  <w:rsids>
    <w:rsidRoot w:val="00542D4F"/>
    <w:rsid w:val="00014E2D"/>
    <w:rsid w:val="000164D5"/>
    <w:rsid w:val="00037299"/>
    <w:rsid w:val="00053D42"/>
    <w:rsid w:val="000565FE"/>
    <w:rsid w:val="00073AC6"/>
    <w:rsid w:val="00081FB3"/>
    <w:rsid w:val="000960E3"/>
    <w:rsid w:val="000B4F47"/>
    <w:rsid w:val="000D7242"/>
    <w:rsid w:val="000E226E"/>
    <w:rsid w:val="000E6426"/>
    <w:rsid w:val="000E75A6"/>
    <w:rsid w:val="000F2E7B"/>
    <w:rsid w:val="0011382A"/>
    <w:rsid w:val="00135C61"/>
    <w:rsid w:val="00141F92"/>
    <w:rsid w:val="00144061"/>
    <w:rsid w:val="001465B2"/>
    <w:rsid w:val="00150BCB"/>
    <w:rsid w:val="001539F4"/>
    <w:rsid w:val="00171089"/>
    <w:rsid w:val="00172EB8"/>
    <w:rsid w:val="00181789"/>
    <w:rsid w:val="001A66AD"/>
    <w:rsid w:val="001A781A"/>
    <w:rsid w:val="001C4C47"/>
    <w:rsid w:val="001C6CE8"/>
    <w:rsid w:val="001D1688"/>
    <w:rsid w:val="001E58CD"/>
    <w:rsid w:val="0020288A"/>
    <w:rsid w:val="00203D53"/>
    <w:rsid w:val="002040D7"/>
    <w:rsid w:val="00217B6F"/>
    <w:rsid w:val="00226C45"/>
    <w:rsid w:val="002372D0"/>
    <w:rsid w:val="002546CA"/>
    <w:rsid w:val="00272256"/>
    <w:rsid w:val="00293E0A"/>
    <w:rsid w:val="002A4DF3"/>
    <w:rsid w:val="002A5316"/>
    <w:rsid w:val="002A7BB4"/>
    <w:rsid w:val="002B1724"/>
    <w:rsid w:val="002B1BAA"/>
    <w:rsid w:val="002B7E26"/>
    <w:rsid w:val="002C5A8E"/>
    <w:rsid w:val="002C753B"/>
    <w:rsid w:val="002D377C"/>
    <w:rsid w:val="002E207A"/>
    <w:rsid w:val="002E25AA"/>
    <w:rsid w:val="002F3165"/>
    <w:rsid w:val="002F3425"/>
    <w:rsid w:val="002F4346"/>
    <w:rsid w:val="00331AA2"/>
    <w:rsid w:val="00334B57"/>
    <w:rsid w:val="003415A2"/>
    <w:rsid w:val="00355966"/>
    <w:rsid w:val="00355D66"/>
    <w:rsid w:val="003560D2"/>
    <w:rsid w:val="00370312"/>
    <w:rsid w:val="00380CB1"/>
    <w:rsid w:val="00384442"/>
    <w:rsid w:val="003A0BC9"/>
    <w:rsid w:val="003E57D7"/>
    <w:rsid w:val="004022ED"/>
    <w:rsid w:val="00410EEB"/>
    <w:rsid w:val="00420227"/>
    <w:rsid w:val="00423B9C"/>
    <w:rsid w:val="004246FF"/>
    <w:rsid w:val="00427745"/>
    <w:rsid w:val="0043002A"/>
    <w:rsid w:val="00454DFE"/>
    <w:rsid w:val="00476C15"/>
    <w:rsid w:val="0049731C"/>
    <w:rsid w:val="004B5218"/>
    <w:rsid w:val="004B6A2F"/>
    <w:rsid w:val="004C4C7C"/>
    <w:rsid w:val="004F2731"/>
    <w:rsid w:val="004F5527"/>
    <w:rsid w:val="00506F81"/>
    <w:rsid w:val="00510EE2"/>
    <w:rsid w:val="005318C1"/>
    <w:rsid w:val="00534357"/>
    <w:rsid w:val="00542D4F"/>
    <w:rsid w:val="00552D23"/>
    <w:rsid w:val="005551C5"/>
    <w:rsid w:val="0056180D"/>
    <w:rsid w:val="0058436F"/>
    <w:rsid w:val="00591731"/>
    <w:rsid w:val="005A50A5"/>
    <w:rsid w:val="005B31A2"/>
    <w:rsid w:val="005E4EEB"/>
    <w:rsid w:val="005F1A02"/>
    <w:rsid w:val="005F6595"/>
    <w:rsid w:val="005F6C06"/>
    <w:rsid w:val="005F6F8A"/>
    <w:rsid w:val="00601172"/>
    <w:rsid w:val="006114E7"/>
    <w:rsid w:val="006142E3"/>
    <w:rsid w:val="00617A2D"/>
    <w:rsid w:val="00623A61"/>
    <w:rsid w:val="00624CF4"/>
    <w:rsid w:val="00630EEC"/>
    <w:rsid w:val="00635BF4"/>
    <w:rsid w:val="00642EAF"/>
    <w:rsid w:val="00656B06"/>
    <w:rsid w:val="00672361"/>
    <w:rsid w:val="00694588"/>
    <w:rsid w:val="006A4394"/>
    <w:rsid w:val="006A4B09"/>
    <w:rsid w:val="006B20A8"/>
    <w:rsid w:val="006D1B32"/>
    <w:rsid w:val="006D1B85"/>
    <w:rsid w:val="006D1FD1"/>
    <w:rsid w:val="006E15E0"/>
    <w:rsid w:val="006F172E"/>
    <w:rsid w:val="006F53E9"/>
    <w:rsid w:val="00700551"/>
    <w:rsid w:val="007059A3"/>
    <w:rsid w:val="007531E4"/>
    <w:rsid w:val="0075541B"/>
    <w:rsid w:val="007636F2"/>
    <w:rsid w:val="00771766"/>
    <w:rsid w:val="00774316"/>
    <w:rsid w:val="007831CC"/>
    <w:rsid w:val="00795878"/>
    <w:rsid w:val="007B4060"/>
    <w:rsid w:val="007C2C7B"/>
    <w:rsid w:val="007C4887"/>
    <w:rsid w:val="007D425D"/>
    <w:rsid w:val="007E0609"/>
    <w:rsid w:val="00801EC9"/>
    <w:rsid w:val="008471FE"/>
    <w:rsid w:val="00852C72"/>
    <w:rsid w:val="008824FA"/>
    <w:rsid w:val="008842E8"/>
    <w:rsid w:val="008A6E43"/>
    <w:rsid w:val="008B4A88"/>
    <w:rsid w:val="008C0171"/>
    <w:rsid w:val="00902B66"/>
    <w:rsid w:val="0091778C"/>
    <w:rsid w:val="00935A36"/>
    <w:rsid w:val="00957234"/>
    <w:rsid w:val="00983887"/>
    <w:rsid w:val="00986BF4"/>
    <w:rsid w:val="00991946"/>
    <w:rsid w:val="009C3889"/>
    <w:rsid w:val="009D03F1"/>
    <w:rsid w:val="009F5E7E"/>
    <w:rsid w:val="009F6ACC"/>
    <w:rsid w:val="00A13C51"/>
    <w:rsid w:val="00A17B3A"/>
    <w:rsid w:val="00A44C10"/>
    <w:rsid w:val="00A5001B"/>
    <w:rsid w:val="00A532A3"/>
    <w:rsid w:val="00A66E7E"/>
    <w:rsid w:val="00A94767"/>
    <w:rsid w:val="00AB6819"/>
    <w:rsid w:val="00AE6DF6"/>
    <w:rsid w:val="00AF1D0E"/>
    <w:rsid w:val="00B10E10"/>
    <w:rsid w:val="00B1210B"/>
    <w:rsid w:val="00B301D1"/>
    <w:rsid w:val="00B33307"/>
    <w:rsid w:val="00B44CC8"/>
    <w:rsid w:val="00B46A10"/>
    <w:rsid w:val="00B87887"/>
    <w:rsid w:val="00BA405D"/>
    <w:rsid w:val="00BA4555"/>
    <w:rsid w:val="00BB340C"/>
    <w:rsid w:val="00BC2073"/>
    <w:rsid w:val="00BD040A"/>
    <w:rsid w:val="00BD1E68"/>
    <w:rsid w:val="00C10873"/>
    <w:rsid w:val="00C24CF5"/>
    <w:rsid w:val="00C3481B"/>
    <w:rsid w:val="00C463D1"/>
    <w:rsid w:val="00C5064F"/>
    <w:rsid w:val="00C53BB1"/>
    <w:rsid w:val="00C5534B"/>
    <w:rsid w:val="00C65749"/>
    <w:rsid w:val="00C86B20"/>
    <w:rsid w:val="00CA7E76"/>
    <w:rsid w:val="00CB393D"/>
    <w:rsid w:val="00CB6AF8"/>
    <w:rsid w:val="00CB6DD8"/>
    <w:rsid w:val="00CD10AA"/>
    <w:rsid w:val="00CD6CBB"/>
    <w:rsid w:val="00CE4BD0"/>
    <w:rsid w:val="00CF0448"/>
    <w:rsid w:val="00D12748"/>
    <w:rsid w:val="00D16D51"/>
    <w:rsid w:val="00D209D1"/>
    <w:rsid w:val="00D65978"/>
    <w:rsid w:val="00D901C5"/>
    <w:rsid w:val="00D97F0F"/>
    <w:rsid w:val="00DB1718"/>
    <w:rsid w:val="00DB6513"/>
    <w:rsid w:val="00DC1103"/>
    <w:rsid w:val="00DC69E3"/>
    <w:rsid w:val="00DD21AC"/>
    <w:rsid w:val="00DD4123"/>
    <w:rsid w:val="00DE4F80"/>
    <w:rsid w:val="00DF79E3"/>
    <w:rsid w:val="00E079C6"/>
    <w:rsid w:val="00E13143"/>
    <w:rsid w:val="00E17128"/>
    <w:rsid w:val="00E20E3F"/>
    <w:rsid w:val="00E32391"/>
    <w:rsid w:val="00E83F74"/>
    <w:rsid w:val="00E93B20"/>
    <w:rsid w:val="00EA13CE"/>
    <w:rsid w:val="00EA1A90"/>
    <w:rsid w:val="00EA2DCA"/>
    <w:rsid w:val="00EB0062"/>
    <w:rsid w:val="00EB2101"/>
    <w:rsid w:val="00ED1135"/>
    <w:rsid w:val="00ED413C"/>
    <w:rsid w:val="00EE1D73"/>
    <w:rsid w:val="00F004D7"/>
    <w:rsid w:val="00F10975"/>
    <w:rsid w:val="00F12D03"/>
    <w:rsid w:val="00F1388B"/>
    <w:rsid w:val="00F14455"/>
    <w:rsid w:val="00F35B1C"/>
    <w:rsid w:val="00F40E78"/>
    <w:rsid w:val="00F47293"/>
    <w:rsid w:val="00F61429"/>
    <w:rsid w:val="00F6757A"/>
    <w:rsid w:val="00F745F4"/>
    <w:rsid w:val="00F863C8"/>
    <w:rsid w:val="00F925D2"/>
    <w:rsid w:val="00F963DB"/>
    <w:rsid w:val="00F96BEE"/>
    <w:rsid w:val="00FA46CF"/>
    <w:rsid w:val="00FD12F3"/>
    <w:rsid w:val="00FE25E3"/>
    <w:rsid w:val="00FE6CF0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E4D9"/>
  <w15:chartTrackingRefBased/>
  <w15:docId w15:val="{B5386CF9-DDF5-4711-85C2-E8DA44D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C96C-51C8-4024-AB69-FBCCA2C1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Lu [KDC]</dc:creator>
  <cp:keywords/>
  <dc:description/>
  <cp:lastModifiedBy>Chang Lu [KDC]</cp:lastModifiedBy>
  <cp:revision>117</cp:revision>
  <dcterms:created xsi:type="dcterms:W3CDTF">2020-07-24T21:45:00Z</dcterms:created>
  <dcterms:modified xsi:type="dcterms:W3CDTF">2021-02-24T22:42:00Z</dcterms:modified>
</cp:coreProperties>
</file>