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6B55" w14:textId="3AA1FB48" w:rsidR="00542D4F" w:rsidRPr="00355D66" w:rsidRDefault="00542D4F" w:rsidP="00542D4F">
      <w:pPr>
        <w:jc w:val="center"/>
        <w:rPr>
          <w:b/>
          <w:sz w:val="24"/>
          <w:szCs w:val="24"/>
        </w:rPr>
      </w:pPr>
      <w:r w:rsidRPr="00355D66">
        <w:rPr>
          <w:b/>
          <w:sz w:val="24"/>
          <w:szCs w:val="24"/>
        </w:rPr>
        <w:t>20</w:t>
      </w:r>
      <w:r w:rsidR="00795878">
        <w:rPr>
          <w:b/>
          <w:sz w:val="24"/>
          <w:szCs w:val="24"/>
        </w:rPr>
        <w:t>2</w:t>
      </w:r>
      <w:r w:rsidR="00D86C0D">
        <w:rPr>
          <w:b/>
          <w:sz w:val="24"/>
          <w:szCs w:val="24"/>
        </w:rPr>
        <w:t>2</w:t>
      </w:r>
      <w:r w:rsidRPr="00355D66">
        <w:rPr>
          <w:b/>
          <w:sz w:val="24"/>
          <w:szCs w:val="24"/>
        </w:rPr>
        <w:t xml:space="preserve"> Kansas Export Statistics Executive Summary</w:t>
      </w:r>
    </w:p>
    <w:p w14:paraId="130755BA" w14:textId="03958176" w:rsidR="00542D4F" w:rsidRPr="00355D66" w:rsidRDefault="00F01190">
      <w:r>
        <w:t>Kansas exports reached an all-time high of $13.97 billion in 2022. Compared with last year’s data, exports surged by $1.4</w:t>
      </w:r>
      <w:r w:rsidR="00246887">
        <w:t>2</w:t>
      </w:r>
      <w:r>
        <w:t xml:space="preserve"> billion, representing an 11.</w:t>
      </w:r>
      <w:r w:rsidR="00CA4088">
        <w:t>36</w:t>
      </w:r>
      <w:r>
        <w:t xml:space="preserve"> percent growth. The previous highs for state exports occurred in 2021 and 2008, and both topped out at $12.5 billion. </w:t>
      </w:r>
      <w:r w:rsidR="000E75A6" w:rsidRPr="009B4EE8">
        <w:t xml:space="preserve">The </w:t>
      </w:r>
      <w:r w:rsidR="0043216A" w:rsidRPr="009B4EE8">
        <w:t xml:space="preserve">pent-up demand due to the </w:t>
      </w:r>
      <w:r w:rsidR="000E75A6" w:rsidRPr="009B4EE8">
        <w:t>ongoing global pandemic</w:t>
      </w:r>
      <w:r w:rsidR="009976FC" w:rsidRPr="009B4EE8">
        <w:t xml:space="preserve">, the higher </w:t>
      </w:r>
      <w:r w:rsidR="00B83108" w:rsidRPr="009B4EE8">
        <w:t xml:space="preserve">prices for products, </w:t>
      </w:r>
      <w:r w:rsidR="00172EB8" w:rsidRPr="009B4EE8">
        <w:t xml:space="preserve">and </w:t>
      </w:r>
      <w:r w:rsidR="00197E7A" w:rsidRPr="009B4EE8">
        <w:t>trading partners’ fiscal and monetary policy actions are likely to be</w:t>
      </w:r>
      <w:r w:rsidR="005F6595" w:rsidRPr="009B4EE8">
        <w:t xml:space="preserve"> the </w:t>
      </w:r>
      <w:r w:rsidR="0014493C">
        <w:t>significant</w:t>
      </w:r>
      <w:r w:rsidR="005F6595" w:rsidRPr="009B4EE8">
        <w:t xml:space="preserve"> contributing factors</w:t>
      </w:r>
      <w:r w:rsidR="00FD4BF2">
        <w:t xml:space="preserve"> behind the growth</w:t>
      </w:r>
      <w:r w:rsidR="005F6595" w:rsidRPr="009B4EE8">
        <w:t>.</w:t>
      </w:r>
      <w:r w:rsidR="005F6595">
        <w:t xml:space="preserve"> </w:t>
      </w:r>
    </w:p>
    <w:p w14:paraId="6C1C853C" w14:textId="4EB7FC1D" w:rsidR="00CF0B0D" w:rsidRDefault="00542D4F" w:rsidP="00CF0B0D">
      <w:r w:rsidRPr="00355D66">
        <w:t>The combined value of the top ten exported commoditie</w:t>
      </w:r>
      <w:r w:rsidR="005318C1">
        <w:t>s was $</w:t>
      </w:r>
      <w:r w:rsidR="0084489C">
        <w:t>10</w:t>
      </w:r>
      <w:r w:rsidR="00D70C10">
        <w:t>.7</w:t>
      </w:r>
      <w:r w:rsidR="00595360">
        <w:t>2</w:t>
      </w:r>
      <w:r w:rsidR="009F5E7E" w:rsidRPr="00355D66">
        <w:t xml:space="preserve"> billion, which </w:t>
      </w:r>
      <w:r w:rsidR="00D70C10">
        <w:t>increased</w:t>
      </w:r>
      <w:r w:rsidRPr="00355D66">
        <w:t xml:space="preserve"> by </w:t>
      </w:r>
      <w:r w:rsidR="00595360">
        <w:t>11</w:t>
      </w:r>
      <w:r w:rsidRPr="00355D66">
        <w:t>.</w:t>
      </w:r>
      <w:r w:rsidR="00595360">
        <w:t>63</w:t>
      </w:r>
      <w:r w:rsidR="00A5001B" w:rsidRPr="00355D66">
        <w:t xml:space="preserve"> percent since 20</w:t>
      </w:r>
      <w:r w:rsidR="00D70C10">
        <w:t>2</w:t>
      </w:r>
      <w:r w:rsidR="00595360">
        <w:t>1</w:t>
      </w:r>
      <w:r w:rsidRPr="00355D66">
        <w:t xml:space="preserve">. </w:t>
      </w:r>
      <w:r w:rsidR="00CF0B0D">
        <w:t xml:space="preserve">The most significant gains were seen in the aircraft and parts category, vehicle and parts </w:t>
      </w:r>
      <w:r w:rsidR="008E0377">
        <w:t>category</w:t>
      </w:r>
      <w:r w:rsidR="00CF0B0D">
        <w:t>, electric machinery category, and industrial machinery category, which increased by $311 million, $248 million, $200 million, and 199 million respectively. By contrast, the cereals category decreased by $13</w:t>
      </w:r>
      <w:r w:rsidR="002611F1">
        <w:t>3</w:t>
      </w:r>
      <w:r w:rsidR="00CF0B0D">
        <w:t xml:space="preserve"> million, the beverages category shrunk by $39 million</w:t>
      </w:r>
      <w:r w:rsidR="00E83A81">
        <w:t xml:space="preserve">, and the </w:t>
      </w:r>
      <w:r w:rsidR="00AC111D">
        <w:t>special</w:t>
      </w:r>
      <w:r w:rsidR="00EC7D7F">
        <w:t xml:space="preserve"> classification category </w:t>
      </w:r>
      <w:r w:rsidR="001A18BB">
        <w:t xml:space="preserve">dropped </w:t>
      </w:r>
      <w:r w:rsidR="00EC7D7F">
        <w:t>by $30 million</w:t>
      </w:r>
      <w:r w:rsidR="00CF0B0D">
        <w:t>. Th</w:t>
      </w:r>
      <w:r w:rsidR="001A18BB">
        <w:t>e beverages</w:t>
      </w:r>
      <w:r w:rsidR="00CF0B0D">
        <w:t xml:space="preserve"> category includes ethyl alcohol, a major ingredient for hand sanitizer and other cleaning products</w:t>
      </w:r>
      <w:r w:rsidR="001C4CC2">
        <w:t xml:space="preserve"> now </w:t>
      </w:r>
      <w:r w:rsidR="00FC3436">
        <w:t>experiencing post pandemic demand reductions</w:t>
      </w:r>
      <w:r w:rsidR="00B66E31">
        <w:t xml:space="preserve"> and the special classification category</w:t>
      </w:r>
      <w:r w:rsidR="0037764B">
        <w:t xml:space="preserve"> </w:t>
      </w:r>
      <w:r w:rsidR="00A6293B">
        <w:t xml:space="preserve">includes </w:t>
      </w:r>
      <w:r w:rsidR="00ED7E4D" w:rsidRPr="00ED7E4D">
        <w:t>products such as repaired goods</w:t>
      </w:r>
      <w:r w:rsidR="00A6293B">
        <w:t xml:space="preserve">. </w:t>
      </w:r>
      <w:r w:rsidR="0037764B">
        <w:t xml:space="preserve"> </w:t>
      </w:r>
    </w:p>
    <w:p w14:paraId="3484B1B4" w14:textId="403AC42A" w:rsidR="00FC6138" w:rsidRPr="00355D66" w:rsidRDefault="0027219E" w:rsidP="00FC6138">
      <w:r>
        <w:t>In the five-state region, including Kansas, Colorado, Missouri, Nebraska, and Oklahoma, the average export value was $11</w:t>
      </w:r>
      <w:r w:rsidR="00405199">
        <w:t>.2</w:t>
      </w:r>
      <w:r>
        <w:t xml:space="preserve"> billion, </w:t>
      </w:r>
      <w:r w:rsidR="00361E8E">
        <w:t>which is</w:t>
      </w:r>
      <w:r>
        <w:t xml:space="preserve"> $2.</w:t>
      </w:r>
      <w:r w:rsidR="00133B80">
        <w:t>76</w:t>
      </w:r>
      <w:r>
        <w:t xml:space="preserve"> billion less than the Sunflower State</w:t>
      </w:r>
      <w:r w:rsidR="00FC6138">
        <w:t>.</w:t>
      </w:r>
      <w:r>
        <w:t xml:space="preserve"> </w:t>
      </w:r>
    </w:p>
    <w:p w14:paraId="2FA8819D" w14:textId="4EF3B5FF" w:rsidR="00542D4F" w:rsidRDefault="00542D4F" w:rsidP="00542D4F">
      <w:pPr>
        <w:spacing w:after="0" w:line="240" w:lineRule="auto"/>
      </w:pPr>
      <w:r w:rsidRPr="00355D66">
        <w:t xml:space="preserve">Below are some highlights regarding key international markets and commodities: </w:t>
      </w:r>
    </w:p>
    <w:p w14:paraId="7699CAA7" w14:textId="77777777" w:rsidR="00AB6819" w:rsidRPr="00355D66" w:rsidRDefault="00AB6819" w:rsidP="00542D4F">
      <w:pPr>
        <w:spacing w:after="0" w:line="240" w:lineRule="auto"/>
      </w:pPr>
    </w:p>
    <w:p w14:paraId="6E81375A" w14:textId="5BBE95E4" w:rsidR="00542D4F" w:rsidRPr="00355D66" w:rsidRDefault="007531E4" w:rsidP="00542D4F">
      <w:pPr>
        <w:pStyle w:val="ListParagraph"/>
        <w:numPr>
          <w:ilvl w:val="0"/>
          <w:numId w:val="1"/>
        </w:numPr>
        <w:spacing w:after="0" w:line="240" w:lineRule="auto"/>
      </w:pPr>
      <w:r w:rsidRPr="00355D66">
        <w:t>The top ten</w:t>
      </w:r>
      <w:r w:rsidR="00542D4F" w:rsidRPr="00355D66">
        <w:t xml:space="preserve"> exported commodities accounted for </w:t>
      </w:r>
      <w:r w:rsidR="00370312" w:rsidRPr="00355D66">
        <w:t>7</w:t>
      </w:r>
      <w:r w:rsidR="00F636A3">
        <w:t>6</w:t>
      </w:r>
      <w:r w:rsidR="00A56B9E">
        <w:t>.</w:t>
      </w:r>
      <w:r w:rsidR="00F636A3">
        <w:t>75</w:t>
      </w:r>
      <w:r w:rsidR="00081FB3" w:rsidRPr="00355D66">
        <w:t xml:space="preserve"> </w:t>
      </w:r>
      <w:r w:rsidR="00630EEC" w:rsidRPr="00355D66">
        <w:t>percent of total exports</w:t>
      </w:r>
      <w:r w:rsidR="00D97F0F">
        <w:t xml:space="preserve">, nearly </w:t>
      </w:r>
      <w:r w:rsidR="00EA13CE">
        <w:t xml:space="preserve">the same as last </w:t>
      </w:r>
      <w:r w:rsidR="00D97F0F">
        <w:t>year’s data</w:t>
      </w:r>
      <w:r w:rsidR="00A44C10">
        <w:t xml:space="preserve"> (77</w:t>
      </w:r>
      <w:r w:rsidR="00324062">
        <w:t>.3</w:t>
      </w:r>
      <w:r w:rsidR="00B65375">
        <w:t xml:space="preserve"> </w:t>
      </w:r>
      <w:r w:rsidR="00A44C10">
        <w:t>percent</w:t>
      </w:r>
      <w:proofErr w:type="gramStart"/>
      <w:r w:rsidR="00A44C10">
        <w:t>);</w:t>
      </w:r>
      <w:proofErr w:type="gramEnd"/>
    </w:p>
    <w:p w14:paraId="6E35774C" w14:textId="77777777" w:rsidR="00073AC6" w:rsidRPr="00355D66" w:rsidRDefault="00073AC6" w:rsidP="00073AC6">
      <w:pPr>
        <w:pStyle w:val="ListParagraph"/>
        <w:spacing w:after="0" w:line="240" w:lineRule="auto"/>
      </w:pPr>
    </w:p>
    <w:p w14:paraId="5F367442" w14:textId="63C1DD4B" w:rsidR="00B72C4E" w:rsidRDefault="00A44C10" w:rsidP="0090318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Other than </w:t>
      </w:r>
      <w:r w:rsidR="007C2C7B">
        <w:t>the</w:t>
      </w:r>
      <w:r w:rsidR="007C2C7B" w:rsidRPr="00355D66">
        <w:t xml:space="preserve"> </w:t>
      </w:r>
      <w:r w:rsidR="00B72C4E">
        <w:t xml:space="preserve">aircraft and parts category, vehicle and parts category, electric machinery category, and industrial machinery category, significant growth was seen in the </w:t>
      </w:r>
      <w:r w:rsidR="0043569C">
        <w:t>f</w:t>
      </w:r>
      <w:r w:rsidR="0043569C" w:rsidRPr="0043569C">
        <w:t xml:space="preserve">ood </w:t>
      </w:r>
      <w:r w:rsidR="0043569C">
        <w:t>i</w:t>
      </w:r>
      <w:r w:rsidR="0043569C" w:rsidRPr="0043569C">
        <w:t xml:space="preserve">ndustry </w:t>
      </w:r>
      <w:r w:rsidR="0043569C">
        <w:t>r</w:t>
      </w:r>
      <w:r w:rsidR="0043569C" w:rsidRPr="0043569C">
        <w:t>esidue</w:t>
      </w:r>
      <w:r w:rsidR="00AC3E21">
        <w:t xml:space="preserve">s, meat, and oil seeds </w:t>
      </w:r>
      <w:r w:rsidR="00B72C4E">
        <w:t>categories, which increased by $</w:t>
      </w:r>
      <w:r w:rsidR="00903180">
        <w:t>93</w:t>
      </w:r>
      <w:r w:rsidR="00B72C4E">
        <w:t xml:space="preserve"> million, $</w:t>
      </w:r>
      <w:r w:rsidR="00903180">
        <w:t xml:space="preserve">70 </w:t>
      </w:r>
      <w:r w:rsidR="00B72C4E">
        <w:t>million, and $</w:t>
      </w:r>
      <w:r w:rsidR="00903180">
        <w:t>56</w:t>
      </w:r>
      <w:r w:rsidR="00B72C4E">
        <w:t xml:space="preserve"> million </w:t>
      </w:r>
      <w:proofErr w:type="gramStart"/>
      <w:r w:rsidR="00B72C4E">
        <w:t>respectively;</w:t>
      </w:r>
      <w:proofErr w:type="gramEnd"/>
    </w:p>
    <w:p w14:paraId="71FFF86C" w14:textId="77777777" w:rsidR="00997B6D" w:rsidRDefault="00997B6D" w:rsidP="00997B6D">
      <w:pPr>
        <w:pStyle w:val="ListParagraph"/>
        <w:spacing w:after="0" w:line="240" w:lineRule="auto"/>
      </w:pPr>
    </w:p>
    <w:p w14:paraId="7ABC2B2B" w14:textId="3F28D74C" w:rsidR="0032579E" w:rsidRDefault="006A4B09" w:rsidP="0032579E">
      <w:pPr>
        <w:pStyle w:val="ListParagraph"/>
        <w:numPr>
          <w:ilvl w:val="0"/>
          <w:numId w:val="1"/>
        </w:numPr>
        <w:spacing w:after="0" w:line="240" w:lineRule="auto"/>
      </w:pPr>
      <w:r w:rsidRPr="00380CB1">
        <w:t>Mexico</w:t>
      </w:r>
      <w:r w:rsidR="00BB340C">
        <w:t xml:space="preserve">, Canada, and </w:t>
      </w:r>
      <w:r w:rsidR="00765502">
        <w:t xml:space="preserve">Japan </w:t>
      </w:r>
      <w:r w:rsidR="003B07F7">
        <w:t xml:space="preserve">took the title of </w:t>
      </w:r>
      <w:r w:rsidRPr="00380CB1">
        <w:t xml:space="preserve">Kansas’ </w:t>
      </w:r>
      <w:r w:rsidR="003B07F7">
        <w:t>T</w:t>
      </w:r>
      <w:r w:rsidR="00BB340C">
        <w:t>op</w:t>
      </w:r>
      <w:r w:rsidR="003B07F7">
        <w:t>-T</w:t>
      </w:r>
      <w:r w:rsidR="00BB340C">
        <w:t xml:space="preserve">hree </w:t>
      </w:r>
      <w:r w:rsidR="003B07F7">
        <w:t>E</w:t>
      </w:r>
      <w:r w:rsidRPr="00380CB1">
        <w:t xml:space="preserve">xport </w:t>
      </w:r>
      <w:r w:rsidR="003B07F7">
        <w:t>D</w:t>
      </w:r>
      <w:r w:rsidRPr="00380CB1">
        <w:t>estination</w:t>
      </w:r>
      <w:r w:rsidR="0020288A">
        <w:t>s</w:t>
      </w:r>
      <w:r w:rsidRPr="00380CB1">
        <w:t>, total</w:t>
      </w:r>
      <w:r w:rsidR="00EA13CE" w:rsidRPr="00380CB1">
        <w:t>ing</w:t>
      </w:r>
      <w:r w:rsidRPr="00380CB1">
        <w:t xml:space="preserve"> $</w:t>
      </w:r>
      <w:r w:rsidR="003974B6">
        <w:t>6</w:t>
      </w:r>
      <w:r w:rsidR="005318C1" w:rsidRPr="00380CB1">
        <w:t>.</w:t>
      </w:r>
      <w:r w:rsidR="003974B6">
        <w:t>7</w:t>
      </w:r>
      <w:r w:rsidR="00022166">
        <w:t>9</w:t>
      </w:r>
      <w:r w:rsidR="002B1724" w:rsidRPr="00380CB1">
        <w:t xml:space="preserve"> billion</w:t>
      </w:r>
      <w:r w:rsidR="003974B6">
        <w:t xml:space="preserve">, or </w:t>
      </w:r>
      <w:r w:rsidR="00DF7F4C">
        <w:t xml:space="preserve">48.6% of </w:t>
      </w:r>
      <w:r w:rsidR="000F5F5B">
        <w:t>total Kansas exports</w:t>
      </w:r>
      <w:r w:rsidR="00BF7719">
        <w:t xml:space="preserve">. </w:t>
      </w:r>
      <w:r w:rsidR="00C64033">
        <w:t>Compared with last year’s data, e</w:t>
      </w:r>
      <w:r w:rsidR="00997B6D" w:rsidRPr="00380CB1">
        <w:t xml:space="preserve">xports to </w:t>
      </w:r>
      <w:r w:rsidR="005B55E4">
        <w:t>t</w:t>
      </w:r>
      <w:r w:rsidR="000F5F5B">
        <w:t>he top</w:t>
      </w:r>
      <w:r w:rsidR="00C64033">
        <w:t>-</w:t>
      </w:r>
      <w:r w:rsidR="005B55E4">
        <w:t xml:space="preserve">three </w:t>
      </w:r>
      <w:r w:rsidR="00C64033">
        <w:t>markets</w:t>
      </w:r>
      <w:r w:rsidR="005B55E4">
        <w:t xml:space="preserve"> </w:t>
      </w:r>
      <w:r w:rsidR="002F3093">
        <w:t>increased by nearly $</w:t>
      </w:r>
      <w:r w:rsidR="00A206D2">
        <w:t xml:space="preserve">911 </w:t>
      </w:r>
      <w:proofErr w:type="gramStart"/>
      <w:r w:rsidR="00A206D2">
        <w:t>million</w:t>
      </w:r>
      <w:r w:rsidR="002F3093">
        <w:t>;</w:t>
      </w:r>
      <w:proofErr w:type="gramEnd"/>
      <w:r w:rsidR="002F3093">
        <w:t xml:space="preserve"> </w:t>
      </w:r>
    </w:p>
    <w:p w14:paraId="32F40362" w14:textId="77777777" w:rsidR="003A5FEE" w:rsidRDefault="003A5FEE" w:rsidP="003A5FEE">
      <w:pPr>
        <w:pStyle w:val="ListParagraph"/>
      </w:pPr>
    </w:p>
    <w:p w14:paraId="1CD859A6" w14:textId="5430A991" w:rsidR="003A5FEE" w:rsidRDefault="003A5FEE" w:rsidP="003257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Exports to Canada, Mexico, </w:t>
      </w:r>
      <w:r w:rsidR="00FB3F18">
        <w:t xml:space="preserve">and </w:t>
      </w:r>
      <w:r w:rsidR="0018286F">
        <w:t>France</w:t>
      </w:r>
      <w:r w:rsidR="00FB3F18">
        <w:t xml:space="preserve"> experienced the highest growth</w:t>
      </w:r>
      <w:r w:rsidR="005135E3">
        <w:t xml:space="preserve">, which increased by $590 million, </w:t>
      </w:r>
      <w:r w:rsidR="00B5561A">
        <w:t>$369 million, and 88</w:t>
      </w:r>
      <w:r w:rsidR="00E305EC">
        <w:t xml:space="preserve"> million</w:t>
      </w:r>
      <w:r w:rsidR="00E843FE">
        <w:t xml:space="preserve">. </w:t>
      </w:r>
      <w:r w:rsidR="00D12CF7">
        <w:t xml:space="preserve">The most </w:t>
      </w:r>
      <w:r w:rsidR="008854D6">
        <w:t>dra</w:t>
      </w:r>
      <w:r w:rsidR="001015FE">
        <w:t>matic</w:t>
      </w:r>
      <w:r w:rsidR="008854D6">
        <w:t xml:space="preserve"> decrease </w:t>
      </w:r>
      <w:r w:rsidR="00DD2FFB">
        <w:t xml:space="preserve">in exports </w:t>
      </w:r>
      <w:r w:rsidR="008854D6">
        <w:t xml:space="preserve">occurred </w:t>
      </w:r>
      <w:r w:rsidR="003F0B83">
        <w:t xml:space="preserve">with </w:t>
      </w:r>
      <w:r w:rsidR="008854D6">
        <w:t>China</w:t>
      </w:r>
      <w:r w:rsidR="00091E3D">
        <w:t xml:space="preserve"> and </w:t>
      </w:r>
      <w:r w:rsidR="008854D6">
        <w:t>Russia,</w:t>
      </w:r>
      <w:r w:rsidR="001015FE">
        <w:t xml:space="preserve"> which </w:t>
      </w:r>
      <w:r w:rsidR="00831499">
        <w:t xml:space="preserve">fell </w:t>
      </w:r>
      <w:r w:rsidR="00AA084F">
        <w:t xml:space="preserve">by </w:t>
      </w:r>
      <w:r w:rsidR="00EE763D">
        <w:t>$402 million</w:t>
      </w:r>
      <w:r w:rsidR="00091E3D">
        <w:t xml:space="preserve"> and</w:t>
      </w:r>
      <w:r w:rsidR="0062596D">
        <w:t xml:space="preserve"> </w:t>
      </w:r>
      <w:r w:rsidR="00246B68">
        <w:t>$69 millio</w:t>
      </w:r>
      <w:r w:rsidR="00091E3D">
        <w:t>n</w:t>
      </w:r>
      <w:r w:rsidR="00831499">
        <w:t xml:space="preserve"> </w:t>
      </w:r>
      <w:proofErr w:type="gramStart"/>
      <w:r w:rsidR="00831499">
        <w:t>respectively</w:t>
      </w:r>
      <w:r w:rsidR="00246B68">
        <w:t>;</w:t>
      </w:r>
      <w:proofErr w:type="gramEnd"/>
      <w:r w:rsidR="008854D6">
        <w:t xml:space="preserve"> </w:t>
      </w:r>
    </w:p>
    <w:p w14:paraId="6955B6BE" w14:textId="77777777" w:rsidR="00623A61" w:rsidRPr="00355D66" w:rsidRDefault="00623A61" w:rsidP="00623A61">
      <w:pPr>
        <w:spacing w:after="0" w:line="240" w:lineRule="auto"/>
      </w:pPr>
    </w:p>
    <w:p w14:paraId="26A24A2E" w14:textId="5326AA0B" w:rsidR="00B35E80" w:rsidRDefault="00DB6513" w:rsidP="0036271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For </w:t>
      </w:r>
      <w:r w:rsidR="0076656D">
        <w:t xml:space="preserve">Mexico, the </w:t>
      </w:r>
      <w:r w:rsidR="00B35E80">
        <w:t>surge</w:t>
      </w:r>
      <w:r w:rsidR="0076656D">
        <w:t xml:space="preserve"> came from the </w:t>
      </w:r>
      <w:r w:rsidR="00FF443B">
        <w:t>dairy product</w:t>
      </w:r>
      <w:r w:rsidR="00B35E80">
        <w:t xml:space="preserve"> and </w:t>
      </w:r>
      <w:r w:rsidR="00B85093">
        <w:t>industrial machinery</w:t>
      </w:r>
      <w:r w:rsidR="007744F2">
        <w:t xml:space="preserve"> </w:t>
      </w:r>
      <w:r w:rsidR="009B29FB">
        <w:t xml:space="preserve">categories. For </w:t>
      </w:r>
      <w:r w:rsidR="00EC65C6">
        <w:t xml:space="preserve">Canada, </w:t>
      </w:r>
      <w:r w:rsidR="009F14D9">
        <w:t xml:space="preserve">the increase came from the vehicle and parts </w:t>
      </w:r>
      <w:r w:rsidR="00461030">
        <w:t xml:space="preserve">category. </w:t>
      </w:r>
      <w:r w:rsidR="00E17481">
        <w:t xml:space="preserve">For </w:t>
      </w:r>
      <w:r w:rsidR="00C50BCE">
        <w:t xml:space="preserve">France, aircraft and parts, </w:t>
      </w:r>
      <w:r w:rsidR="00CE1F75">
        <w:t>vehicles</w:t>
      </w:r>
      <w:r w:rsidR="00C22F0E">
        <w:t xml:space="preserve"> and parts, and </w:t>
      </w:r>
      <w:r w:rsidR="00DC00A6">
        <w:t>industrial</w:t>
      </w:r>
      <w:r w:rsidR="00C970E7">
        <w:t xml:space="preserve"> </w:t>
      </w:r>
      <w:r w:rsidR="00BD565C">
        <w:t>and electric machinery</w:t>
      </w:r>
      <w:r w:rsidR="00C22F0E">
        <w:t xml:space="preserve"> </w:t>
      </w:r>
      <w:r w:rsidR="00190A03">
        <w:t>contributed to the significant growth. For China,</w:t>
      </w:r>
      <w:r w:rsidR="00D71338">
        <w:t xml:space="preserve"> the most noticeable </w:t>
      </w:r>
      <w:r w:rsidR="007D5A51">
        <w:t>decrease</w:t>
      </w:r>
      <w:r w:rsidR="001C11F7">
        <w:t xml:space="preserve"> can be observed in the</w:t>
      </w:r>
      <w:r w:rsidR="00190A03">
        <w:t xml:space="preserve"> </w:t>
      </w:r>
      <w:r w:rsidR="00FB00A0">
        <w:t>agricultural commodities</w:t>
      </w:r>
      <w:r w:rsidR="00D05EFD">
        <w:t xml:space="preserve"> </w:t>
      </w:r>
      <w:r w:rsidR="001C11F7">
        <w:t>categor</w:t>
      </w:r>
      <w:r w:rsidR="00466AEA">
        <w:t>y</w:t>
      </w:r>
      <w:r w:rsidR="00C119A7">
        <w:t xml:space="preserve"> – excluding oil seeds</w:t>
      </w:r>
      <w:r w:rsidR="00645568">
        <w:t xml:space="preserve"> which saw an increase</w:t>
      </w:r>
      <w:r w:rsidR="000151BC">
        <w:t xml:space="preserve">. For Russia, </w:t>
      </w:r>
      <w:r w:rsidR="00ED44FF">
        <w:t>reduction</w:t>
      </w:r>
      <w:r w:rsidR="00081EFB">
        <w:t xml:space="preserve">s </w:t>
      </w:r>
      <w:r w:rsidR="00ED44FF">
        <w:t xml:space="preserve">can be seen in all </w:t>
      </w:r>
      <w:r w:rsidR="00081EFB">
        <w:t>categories with a couple of exceptions</w:t>
      </w:r>
      <w:r w:rsidR="0094433D">
        <w:t xml:space="preserve">, such as pharmaceutical products and copper </w:t>
      </w:r>
      <w:proofErr w:type="gramStart"/>
      <w:r w:rsidR="0094433D">
        <w:t>articles</w:t>
      </w:r>
      <w:r w:rsidR="002B6AE5">
        <w:t>;</w:t>
      </w:r>
      <w:proofErr w:type="gramEnd"/>
    </w:p>
    <w:p w14:paraId="7C6F88B3" w14:textId="77777777" w:rsidR="00DC00A6" w:rsidRDefault="00DC00A6" w:rsidP="001C11F7">
      <w:pPr>
        <w:spacing w:after="0" w:line="240" w:lineRule="auto"/>
      </w:pPr>
    </w:p>
    <w:p w14:paraId="19EB8F18" w14:textId="660E0ACF" w:rsidR="00E32391" w:rsidRDefault="00AD438F" w:rsidP="001C0CFF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Compared with the previous year, </w:t>
      </w:r>
      <w:r w:rsidR="00E446F5">
        <w:t xml:space="preserve">the only partner </w:t>
      </w:r>
      <w:r w:rsidR="00521660">
        <w:t xml:space="preserve">that </w:t>
      </w:r>
      <w:r w:rsidR="00E446F5">
        <w:t xml:space="preserve">dropped </w:t>
      </w:r>
      <w:r w:rsidR="0007073E">
        <w:t>off from t</w:t>
      </w:r>
      <w:r w:rsidR="00FD74A0">
        <w:t xml:space="preserve">he Top-Ten </w:t>
      </w:r>
      <w:r w:rsidR="0007073E">
        <w:t>destination</w:t>
      </w:r>
      <w:r w:rsidR="00FD74A0">
        <w:t xml:space="preserve"> list</w:t>
      </w:r>
      <w:r w:rsidR="006B6F00">
        <w:t xml:space="preserve"> was </w:t>
      </w:r>
      <w:r w:rsidR="009A7294">
        <w:t>Taiwan</w:t>
      </w:r>
      <w:r w:rsidR="006B6F00">
        <w:t xml:space="preserve">. </w:t>
      </w:r>
      <w:r w:rsidR="000305E9">
        <w:t>It became Kansas’ 11</w:t>
      </w:r>
      <w:r w:rsidR="000305E9" w:rsidRPr="00620AF1">
        <w:rPr>
          <w:vertAlign w:val="superscript"/>
        </w:rPr>
        <w:t>th</w:t>
      </w:r>
      <w:r w:rsidR="000305E9">
        <w:t xml:space="preserve"> largest </w:t>
      </w:r>
      <w:r w:rsidR="00B42FB6">
        <w:t xml:space="preserve">export </w:t>
      </w:r>
      <w:r w:rsidR="000305E9">
        <w:t xml:space="preserve">destination </w:t>
      </w:r>
      <w:r w:rsidR="00B42FB6">
        <w:t>in 202</w:t>
      </w:r>
      <w:r w:rsidR="009A7294">
        <w:t>2</w:t>
      </w:r>
      <w:r w:rsidR="00B42FB6">
        <w:t xml:space="preserve">. </w:t>
      </w:r>
      <w:r w:rsidR="00A379B7" w:rsidRPr="00A379B7">
        <w:t xml:space="preserve">A reduction in </w:t>
      </w:r>
      <w:r w:rsidR="009F15E1">
        <w:t>oil seeds</w:t>
      </w:r>
      <w:r w:rsidR="00444578">
        <w:t xml:space="preserve"> and aircraft/parts</w:t>
      </w:r>
      <w:r w:rsidR="00A379B7" w:rsidRPr="00A379B7">
        <w:t xml:space="preserve"> exports mainly caused the slight </w:t>
      </w:r>
      <w:proofErr w:type="gramStart"/>
      <w:r w:rsidR="006557A6">
        <w:t>change</w:t>
      </w:r>
      <w:r w:rsidR="00620AF1">
        <w:t>;</w:t>
      </w:r>
      <w:proofErr w:type="gramEnd"/>
    </w:p>
    <w:p w14:paraId="25B799F2" w14:textId="77777777" w:rsidR="00620AF1" w:rsidRPr="00355D66" w:rsidRDefault="00620AF1" w:rsidP="00620AF1">
      <w:pPr>
        <w:spacing w:after="0" w:line="240" w:lineRule="auto"/>
      </w:pPr>
    </w:p>
    <w:p w14:paraId="73AB7489" w14:textId="564FF117" w:rsidR="00542D4F" w:rsidRPr="00355D66" w:rsidRDefault="00542D4F" w:rsidP="00542D4F">
      <w:pPr>
        <w:pStyle w:val="ListParagraph"/>
        <w:numPr>
          <w:ilvl w:val="0"/>
          <w:numId w:val="1"/>
        </w:numPr>
        <w:spacing w:after="0" w:line="240" w:lineRule="auto"/>
      </w:pPr>
      <w:r w:rsidRPr="00355D66">
        <w:t xml:space="preserve">The top </w:t>
      </w:r>
      <w:r w:rsidR="002040D7" w:rsidRPr="00355D66">
        <w:t xml:space="preserve">ten markets accounted for </w:t>
      </w:r>
      <w:r w:rsidR="00E2261A">
        <w:t xml:space="preserve">more than </w:t>
      </w:r>
      <w:r w:rsidR="002B1BAA">
        <w:t>7</w:t>
      </w:r>
      <w:r w:rsidR="00E2261A">
        <w:t>2</w:t>
      </w:r>
      <w:r w:rsidRPr="00355D66">
        <w:t xml:space="preserve"> percent of total exports. </w:t>
      </w:r>
    </w:p>
    <w:p w14:paraId="13A290B3" w14:textId="77777777" w:rsidR="00542D4F" w:rsidRPr="00355D66" w:rsidRDefault="00542D4F" w:rsidP="00542D4F">
      <w:pPr>
        <w:spacing w:after="0" w:line="240" w:lineRule="auto"/>
      </w:pPr>
    </w:p>
    <w:p w14:paraId="688393E9" w14:textId="12DD4EA6" w:rsidR="00656B06" w:rsidRDefault="00542D4F" w:rsidP="00542D4F">
      <w:pPr>
        <w:spacing w:after="0" w:line="240" w:lineRule="auto"/>
      </w:pPr>
      <w:r>
        <w:t>The following pa</w:t>
      </w:r>
      <w:r w:rsidR="007531E4">
        <w:t>ge provides charts of the top</w:t>
      </w:r>
      <w:r w:rsidR="00C52DFB">
        <w:t>-</w:t>
      </w:r>
      <w:r w:rsidR="007531E4">
        <w:t>ten</w:t>
      </w:r>
      <w:r>
        <w:t xml:space="preserve"> expo</w:t>
      </w:r>
      <w:r w:rsidR="007531E4">
        <w:t xml:space="preserve">rt markets </w:t>
      </w:r>
      <w:r w:rsidR="006557A6">
        <w:t>and</w:t>
      </w:r>
      <w:r w:rsidR="007531E4">
        <w:t xml:space="preserve"> the top</w:t>
      </w:r>
      <w:r w:rsidR="00C52DFB">
        <w:t>-</w:t>
      </w:r>
      <w:r w:rsidR="007531E4">
        <w:t>ten</w:t>
      </w:r>
      <w:r>
        <w:t xml:space="preserve"> commodity </w:t>
      </w:r>
      <w:r w:rsidR="004B6A2F">
        <w:t>classifications exported in 20</w:t>
      </w:r>
      <w:r w:rsidR="00F745F4">
        <w:t>2</w:t>
      </w:r>
      <w:r w:rsidR="00C52DFB">
        <w:t>2</w:t>
      </w:r>
      <w:r>
        <w:t>.</w:t>
      </w:r>
    </w:p>
    <w:p w14:paraId="1FA23242" w14:textId="77777777" w:rsidR="002F4346" w:rsidRDefault="002F4346" w:rsidP="00542D4F">
      <w:pPr>
        <w:spacing w:after="0" w:line="240" w:lineRule="auto"/>
      </w:pPr>
    </w:p>
    <w:p w14:paraId="7A3D2995" w14:textId="5B5F3FBF" w:rsidR="005059C8" w:rsidRPr="005F5ADB" w:rsidRDefault="00534357" w:rsidP="005F5ADB">
      <w:pPr>
        <w:spacing w:after="0" w:line="240" w:lineRule="auto"/>
        <w:jc w:val="center"/>
        <w:rPr>
          <w:b/>
          <w:sz w:val="32"/>
          <w:szCs w:val="32"/>
        </w:rPr>
      </w:pPr>
      <w:r w:rsidRPr="00A044C1">
        <w:rPr>
          <w:b/>
          <w:sz w:val="32"/>
          <w:szCs w:val="32"/>
        </w:rPr>
        <w:t>20</w:t>
      </w:r>
      <w:r w:rsidR="00A94767">
        <w:rPr>
          <w:b/>
          <w:sz w:val="32"/>
          <w:szCs w:val="32"/>
        </w:rPr>
        <w:t>2</w:t>
      </w:r>
      <w:r w:rsidR="00C910F5">
        <w:rPr>
          <w:b/>
          <w:sz w:val="32"/>
          <w:szCs w:val="32"/>
        </w:rPr>
        <w:t>2</w:t>
      </w:r>
      <w:r w:rsidRPr="00A044C1">
        <w:rPr>
          <w:b/>
          <w:sz w:val="32"/>
          <w:szCs w:val="32"/>
        </w:rPr>
        <w:t xml:space="preserve"> Kansas Exports Top</w:t>
      </w:r>
      <w:r w:rsidR="00366D8A">
        <w:rPr>
          <w:b/>
          <w:sz w:val="32"/>
          <w:szCs w:val="32"/>
        </w:rPr>
        <w:t>-</w:t>
      </w:r>
      <w:r w:rsidRPr="00A044C1">
        <w:rPr>
          <w:b/>
          <w:sz w:val="32"/>
          <w:szCs w:val="32"/>
        </w:rPr>
        <w:t>Ten Markets</w:t>
      </w:r>
    </w:p>
    <w:tbl>
      <w:tblPr>
        <w:tblW w:w="8952" w:type="dxa"/>
        <w:tblLook w:val="04A0" w:firstRow="1" w:lastRow="0" w:firstColumn="1" w:lastColumn="0" w:noHBand="0" w:noVBand="1"/>
      </w:tblPr>
      <w:tblGrid>
        <w:gridCol w:w="2875"/>
        <w:gridCol w:w="1620"/>
        <w:gridCol w:w="1350"/>
        <w:gridCol w:w="1095"/>
        <w:gridCol w:w="1006"/>
        <w:gridCol w:w="1006"/>
      </w:tblGrid>
      <w:tr w:rsidR="00EC1E1F" w:rsidRPr="00EC1E1F" w14:paraId="11916083" w14:textId="77777777" w:rsidTr="005B7B91">
        <w:trPr>
          <w:trHeight w:val="315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5A49C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8AF7E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C1E1F">
              <w:rPr>
                <w:rFonts w:eastAsia="Times New Roman" w:cstheme="minorHAnsi"/>
                <w:b/>
                <w:bCs/>
                <w:color w:val="000000"/>
              </w:rPr>
              <w:t xml:space="preserve">% </w:t>
            </w:r>
            <w:proofErr w:type="gramStart"/>
            <w:r w:rsidRPr="00EC1E1F">
              <w:rPr>
                <w:rFonts w:eastAsia="Times New Roman" w:cstheme="minorHAnsi"/>
                <w:b/>
                <w:bCs/>
                <w:color w:val="000000"/>
              </w:rPr>
              <w:t>of</w:t>
            </w:r>
            <w:proofErr w:type="gramEnd"/>
            <w:r w:rsidRPr="00EC1E1F">
              <w:rPr>
                <w:rFonts w:eastAsia="Times New Roman" w:cstheme="minorHAnsi"/>
                <w:b/>
                <w:bCs/>
                <w:color w:val="000000"/>
              </w:rPr>
              <w:t xml:space="preserve"> Total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13ECF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C1E1F">
              <w:rPr>
                <w:rFonts w:eastAsia="Times New Roman" w:cstheme="minorHAnsi"/>
                <w:b/>
                <w:bCs/>
                <w:color w:val="000000"/>
              </w:rPr>
              <w:t>% Change</w:t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340FF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C1E1F">
              <w:rPr>
                <w:rFonts w:eastAsia="Times New Roman" w:cstheme="minorHAnsi"/>
                <w:b/>
                <w:bCs/>
                <w:color w:val="000000"/>
              </w:rPr>
              <w:t>Exports (Millions)</w:t>
            </w:r>
          </w:p>
        </w:tc>
      </w:tr>
      <w:tr w:rsidR="00EC1E1F" w:rsidRPr="00EC1E1F" w14:paraId="2C3E7342" w14:textId="77777777" w:rsidTr="005B7B91">
        <w:trPr>
          <w:trHeight w:val="332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1304E52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C1E1F">
              <w:rPr>
                <w:rFonts w:eastAsia="Times New Roman" w:cstheme="minorHAnsi"/>
                <w:b/>
                <w:bCs/>
                <w:color w:val="000000"/>
              </w:rPr>
              <w:t>Country (with 2021 rank)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5395345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C1E1F">
              <w:rPr>
                <w:rFonts w:eastAsia="Times New Roman" w:cstheme="minorHAnsi"/>
                <w:b/>
                <w:bCs/>
                <w:color w:val="000000"/>
              </w:rPr>
              <w:t>KS Exports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33C2961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C1E1F">
              <w:rPr>
                <w:rFonts w:eastAsia="Times New Roman" w:cstheme="minorHAnsi"/>
                <w:b/>
                <w:bCs/>
                <w:color w:val="000000"/>
              </w:rPr>
              <w:t>2021-2022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0C2144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C1E1F">
              <w:rPr>
                <w:rFonts w:eastAsia="Times New Roman" w:cstheme="minorHAnsi"/>
                <w:b/>
                <w:bCs/>
                <w:color w:val="000000"/>
              </w:rPr>
              <w:t>2022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64FBEF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C1E1F">
              <w:rPr>
                <w:rFonts w:eastAsia="Times New Roman" w:cstheme="minorHAnsi"/>
                <w:b/>
                <w:bCs/>
                <w:color w:val="000000"/>
              </w:rPr>
              <w:t>2021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F21BC37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C1E1F">
              <w:rPr>
                <w:rFonts w:eastAsia="Times New Roman" w:cstheme="minorHAnsi"/>
                <w:b/>
                <w:bCs/>
                <w:color w:val="000000"/>
              </w:rPr>
              <w:t>2020</w:t>
            </w:r>
          </w:p>
        </w:tc>
      </w:tr>
      <w:tr w:rsidR="00EC1E1F" w:rsidRPr="00EC1E1F" w14:paraId="37667970" w14:textId="77777777" w:rsidTr="005B7B91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86651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1 Mexico 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A2C3B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22.41%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FC88C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13.39%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D791A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$3,129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BB6E7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$2,759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4C1AA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$2,079</w:t>
            </w:r>
          </w:p>
        </w:tc>
      </w:tr>
      <w:tr w:rsidR="005B7B91" w:rsidRPr="00EC1E1F" w14:paraId="4BFE0108" w14:textId="77777777" w:rsidTr="005B7B91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14D9FFE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2 Canada (2)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9FFB91A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18.87%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6CEE96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28.84%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09F005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$2,636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49CFA7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$2,046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AFF95B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$1,687</w:t>
            </w:r>
          </w:p>
        </w:tc>
      </w:tr>
      <w:tr w:rsidR="00EC1E1F" w:rsidRPr="00EC1E1F" w14:paraId="752A8218" w14:textId="77777777" w:rsidTr="005B7B91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A7C2D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3 Japan (4)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AB63E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7.33%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E57F1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-4.51%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09649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$1,023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25147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$1,072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4D3B4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$903</w:t>
            </w:r>
          </w:p>
        </w:tc>
      </w:tr>
      <w:tr w:rsidR="005B7B91" w:rsidRPr="00EC1E1F" w14:paraId="3B1C5051" w14:textId="77777777" w:rsidTr="005B7B91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CDCD86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4 China (3)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45282CB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5.17%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C707BFD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-35.81%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51755E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$722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A109CE5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$1,124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A5FDFE0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$722</w:t>
            </w:r>
          </w:p>
        </w:tc>
      </w:tr>
      <w:tr w:rsidR="00EC1E1F" w:rsidRPr="00EC1E1F" w14:paraId="6659AC99" w14:textId="77777777" w:rsidTr="005B7B91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21941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 xml:space="preserve">5 Republic </w:t>
            </w:r>
            <w:proofErr w:type="gramStart"/>
            <w:r w:rsidRPr="00EC1E1F">
              <w:rPr>
                <w:rFonts w:eastAsia="Times New Roman" w:cstheme="minorHAnsi"/>
                <w:color w:val="000000"/>
              </w:rPr>
              <w:t>Of</w:t>
            </w:r>
            <w:proofErr w:type="gramEnd"/>
            <w:r w:rsidRPr="00EC1E1F">
              <w:rPr>
                <w:rFonts w:eastAsia="Times New Roman" w:cstheme="minorHAnsi"/>
                <w:color w:val="000000"/>
              </w:rPr>
              <w:t xml:space="preserve"> Korea (5)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FA6AF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4.34%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A59C4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4.91%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2BE60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$606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E1A42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$578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1FDFD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$421</w:t>
            </w:r>
          </w:p>
        </w:tc>
      </w:tr>
      <w:tr w:rsidR="005B7B91" w:rsidRPr="00EC1E1F" w14:paraId="04E216F2" w14:textId="77777777" w:rsidTr="005B7B91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93F5F26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6 Germany (6)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31E80F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3.79%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A04438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10.28%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65D7BC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$529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9121467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$479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5A56360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$394</w:t>
            </w:r>
          </w:p>
        </w:tc>
      </w:tr>
      <w:tr w:rsidR="00EC1E1F" w:rsidRPr="00EC1E1F" w14:paraId="28115977" w14:textId="77777777" w:rsidTr="005B7B91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6F6D0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7 Singapore (8)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76C8A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2.75%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BE863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19.63%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EFA47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$383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4473D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$320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DDA03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$278</w:t>
            </w:r>
          </w:p>
        </w:tc>
      </w:tr>
      <w:tr w:rsidR="005B7B91" w:rsidRPr="00EC1E1F" w14:paraId="03ED4B62" w14:textId="77777777" w:rsidTr="005B7B91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A202CC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8 Australia (10)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521A69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2.51%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CC00DE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11.82%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4A0C82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$351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ACE921F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$314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C88043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$208</w:t>
            </w:r>
          </w:p>
        </w:tc>
      </w:tr>
      <w:tr w:rsidR="00EC1E1F" w:rsidRPr="00EC1E1F" w14:paraId="5D2824DB" w14:textId="77777777" w:rsidTr="005B7B91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19531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9 Brazil (11)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5582D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2.46%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489AB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25.48%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23E5C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$344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F3612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$274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A4AE6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$287</w:t>
            </w:r>
          </w:p>
        </w:tc>
      </w:tr>
      <w:tr w:rsidR="005B7B91" w:rsidRPr="00EC1E1F" w14:paraId="63B7849B" w14:textId="77777777" w:rsidTr="005B7B91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1AD473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10 United Kingdom (7)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8553962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2.40%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8875D3D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-10.44%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C10B191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$335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7901A8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$374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8417F25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$375</w:t>
            </w:r>
          </w:p>
        </w:tc>
      </w:tr>
      <w:tr w:rsidR="00EC1E1F" w:rsidRPr="00EC1E1F" w14:paraId="790C7A14" w14:textId="77777777" w:rsidTr="005B7B91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72A2B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Top 10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970C4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72.02%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7CB12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7.68%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65067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$10,057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73140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$9,340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90FB6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$7,354</w:t>
            </w:r>
          </w:p>
        </w:tc>
      </w:tr>
      <w:tr w:rsidR="005B7B91" w:rsidRPr="00EC1E1F" w14:paraId="1FEAF138" w14:textId="77777777" w:rsidTr="005B7B91">
        <w:trPr>
          <w:trHeight w:val="315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EB43D9C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C1E1F">
              <w:rPr>
                <w:rFonts w:eastAsia="Times New Roman" w:cstheme="minorHAnsi"/>
                <w:b/>
                <w:bCs/>
                <w:color w:val="000000"/>
              </w:rPr>
              <w:t>Total Kansas Exports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3AC7CB1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383EE2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11.36%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7D140DE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$13,965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1B2332E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$12,541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C623DD5" w14:textId="77777777" w:rsidR="00EC1E1F" w:rsidRPr="00EC1E1F" w:rsidRDefault="00EC1E1F" w:rsidP="00EC1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C1E1F">
              <w:rPr>
                <w:rFonts w:eastAsia="Times New Roman" w:cstheme="minorHAnsi"/>
                <w:color w:val="000000"/>
              </w:rPr>
              <w:t>$10,405</w:t>
            </w:r>
          </w:p>
        </w:tc>
      </w:tr>
    </w:tbl>
    <w:p w14:paraId="707E3054" w14:textId="3410E90C" w:rsidR="002F4346" w:rsidRDefault="002F4346" w:rsidP="00534357">
      <w:pPr>
        <w:spacing w:after="0" w:line="240" w:lineRule="auto"/>
      </w:pPr>
    </w:p>
    <w:p w14:paraId="7B1D1B7E" w14:textId="3558E15A" w:rsidR="00E17128" w:rsidRDefault="00534357" w:rsidP="005F5ADB">
      <w:pPr>
        <w:spacing w:after="0" w:line="240" w:lineRule="auto"/>
        <w:jc w:val="center"/>
        <w:rPr>
          <w:b/>
          <w:sz w:val="32"/>
          <w:szCs w:val="32"/>
        </w:rPr>
      </w:pPr>
      <w:r w:rsidRPr="00A044C1">
        <w:rPr>
          <w:b/>
          <w:sz w:val="32"/>
          <w:szCs w:val="32"/>
        </w:rPr>
        <w:t>20</w:t>
      </w:r>
      <w:r w:rsidR="00E17128">
        <w:rPr>
          <w:b/>
          <w:sz w:val="32"/>
          <w:szCs w:val="32"/>
        </w:rPr>
        <w:t>2</w:t>
      </w:r>
      <w:r w:rsidR="0021055A">
        <w:rPr>
          <w:b/>
          <w:sz w:val="32"/>
          <w:szCs w:val="32"/>
        </w:rPr>
        <w:t>2</w:t>
      </w:r>
      <w:r w:rsidRPr="00A044C1">
        <w:rPr>
          <w:b/>
          <w:sz w:val="32"/>
          <w:szCs w:val="32"/>
        </w:rPr>
        <w:t xml:space="preserve"> Kansas Exports Top</w:t>
      </w:r>
      <w:r w:rsidR="00366D8A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Ten</w:t>
      </w:r>
      <w:r w:rsidRPr="00A044C1">
        <w:rPr>
          <w:b/>
          <w:sz w:val="32"/>
          <w:szCs w:val="32"/>
        </w:rPr>
        <w:t xml:space="preserve"> Commodity Classifications</w:t>
      </w:r>
    </w:p>
    <w:tbl>
      <w:tblPr>
        <w:tblW w:w="8995" w:type="dxa"/>
        <w:tblLook w:val="04A0" w:firstRow="1" w:lastRow="0" w:firstColumn="1" w:lastColumn="0" w:noHBand="0" w:noVBand="1"/>
      </w:tblPr>
      <w:tblGrid>
        <w:gridCol w:w="3145"/>
        <w:gridCol w:w="1350"/>
        <w:gridCol w:w="1350"/>
        <w:gridCol w:w="1080"/>
        <w:gridCol w:w="990"/>
        <w:gridCol w:w="1080"/>
      </w:tblGrid>
      <w:tr w:rsidR="00350E69" w:rsidRPr="00350E69" w14:paraId="6E6C631B" w14:textId="77777777" w:rsidTr="00350E69">
        <w:trPr>
          <w:trHeight w:val="30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164E7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0E6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8E827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0E6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% </w:t>
            </w:r>
            <w:proofErr w:type="gramStart"/>
            <w:r w:rsidRPr="00350E69">
              <w:rPr>
                <w:rFonts w:ascii="Calibri" w:eastAsia="Times New Roman" w:hAnsi="Calibri" w:cs="Calibri"/>
                <w:b/>
                <w:bCs/>
                <w:color w:val="000000"/>
              </w:rPr>
              <w:t>of</w:t>
            </w:r>
            <w:proofErr w:type="gramEnd"/>
            <w:r w:rsidRPr="00350E6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F1222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0E69">
              <w:rPr>
                <w:rFonts w:ascii="Calibri" w:eastAsia="Times New Roman" w:hAnsi="Calibri" w:cs="Calibri"/>
                <w:b/>
                <w:bCs/>
                <w:color w:val="000000"/>
              </w:rPr>
              <w:t>% Change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786D5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0E69">
              <w:rPr>
                <w:rFonts w:ascii="Calibri" w:eastAsia="Times New Roman" w:hAnsi="Calibri" w:cs="Calibri"/>
                <w:b/>
                <w:bCs/>
                <w:color w:val="000000"/>
              </w:rPr>
              <w:t>Exports (Millions)</w:t>
            </w:r>
          </w:p>
        </w:tc>
      </w:tr>
      <w:tr w:rsidR="00350E69" w:rsidRPr="00350E69" w14:paraId="329FF184" w14:textId="77777777" w:rsidTr="00350E69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F22F8D2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0E69">
              <w:rPr>
                <w:rFonts w:ascii="Calibri" w:eastAsia="Times New Roman" w:hAnsi="Calibri" w:cs="Calibri"/>
                <w:b/>
                <w:bCs/>
                <w:color w:val="000000"/>
              </w:rPr>
              <w:t>Commodity Classification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BB06D6E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0E69">
              <w:rPr>
                <w:rFonts w:ascii="Calibri" w:eastAsia="Times New Roman" w:hAnsi="Calibri" w:cs="Calibri"/>
                <w:b/>
                <w:bCs/>
                <w:color w:val="000000"/>
              </w:rPr>
              <w:t>KS Exports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A62BFF9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0E69">
              <w:rPr>
                <w:rFonts w:ascii="Calibri" w:eastAsia="Times New Roman" w:hAnsi="Calibri" w:cs="Calibri"/>
                <w:b/>
                <w:bCs/>
                <w:color w:val="000000"/>
              </w:rPr>
              <w:t>2021-2022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96B70FA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0E69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9D9DF2A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0E69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36533EE0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0E69">
              <w:rPr>
                <w:rFonts w:ascii="Calibri" w:eastAsia="Times New Roman" w:hAnsi="Calibri" w:cs="Calibri"/>
                <w:b/>
                <w:bCs/>
                <w:color w:val="000000"/>
              </w:rPr>
              <w:t>2020</w:t>
            </w:r>
          </w:p>
        </w:tc>
      </w:tr>
      <w:tr w:rsidR="00350E69" w:rsidRPr="00350E69" w14:paraId="733DA39B" w14:textId="77777777" w:rsidTr="00350E69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11C23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Aircraft &amp; Parts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1339E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17.56%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62A7C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14.53%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8BB13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$2,452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DB48D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$2,141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4473D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$1,724</w:t>
            </w:r>
          </w:p>
        </w:tc>
      </w:tr>
      <w:tr w:rsidR="00350E69" w:rsidRPr="00350E69" w14:paraId="5E797D2A" w14:textId="77777777" w:rsidTr="00350E69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EBA7735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Meat And Edible Meat Offal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27BF681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15.19%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8ACB34B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3.43%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467049C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$2,122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28AFA2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$2,051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6E6C753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$1,602</w:t>
            </w:r>
          </w:p>
        </w:tc>
      </w:tr>
      <w:tr w:rsidR="00350E69" w:rsidRPr="00350E69" w14:paraId="150BD211" w14:textId="77777777" w:rsidTr="00350E69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38F11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Industrial Machinery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48512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9.59%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1F428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17.45%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07C98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$1,339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8B9CB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$1,140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C9423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$916</w:t>
            </w:r>
          </w:p>
        </w:tc>
      </w:tr>
      <w:tr w:rsidR="00350E69" w:rsidRPr="00350E69" w14:paraId="6FA89D0E" w14:textId="77777777" w:rsidTr="00350E69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186975E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Cereals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369A5AD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9.56%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7059DFD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-9.06%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8AC479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$1,335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FA011B6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$1,468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AD45AB4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$985</w:t>
            </w:r>
          </w:p>
        </w:tc>
      </w:tr>
      <w:tr w:rsidR="00350E69" w:rsidRPr="00350E69" w14:paraId="155420DC" w14:textId="77777777" w:rsidTr="00350E69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E110E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 xml:space="preserve">Electric Machinery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1205F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8.68%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3D7FE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19.71%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2124E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$1,212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4E473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$1,012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CC666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$851</w:t>
            </w:r>
          </w:p>
        </w:tc>
      </w:tr>
      <w:tr w:rsidR="00350E69" w:rsidRPr="00350E69" w14:paraId="717389AB" w14:textId="77777777" w:rsidTr="00350E69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77D45B4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 xml:space="preserve">Oil Seeds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E7E38D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4.89%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A119E46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8.93%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0F19541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$683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EF7D6CD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4F8376F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$634</w:t>
            </w:r>
          </w:p>
        </w:tc>
      </w:tr>
      <w:tr w:rsidR="00350E69" w:rsidRPr="00350E69" w14:paraId="270F1019" w14:textId="77777777" w:rsidTr="00350E69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55822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 xml:space="preserve">Vehicles &amp; Parts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309A9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3.60%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6753A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97.31%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C344B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$503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F15C3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29EB3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$350</w:t>
            </w:r>
          </w:p>
        </w:tc>
      </w:tr>
      <w:tr w:rsidR="00350E69" w:rsidRPr="00350E69" w14:paraId="58BB3D76" w14:textId="77777777" w:rsidTr="00350E69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7E9451C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Food Industry Residues &amp; Waste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B0CF53A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3.32%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B28726F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25.20%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9BAE74A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$463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247C8FD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F67A36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$268</w:t>
            </w:r>
          </w:p>
        </w:tc>
      </w:tr>
      <w:tr w:rsidR="00350E69" w:rsidRPr="00350E69" w14:paraId="5C0110FD" w14:textId="77777777" w:rsidTr="00350E69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1BB86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Optic &amp; Medical Instruments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3CD7B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2.47%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EE4A9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11.49%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726B2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$345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46BE1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B8243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$311</w:t>
            </w:r>
          </w:p>
        </w:tc>
      </w:tr>
      <w:tr w:rsidR="00350E69" w:rsidRPr="00350E69" w14:paraId="1890F6B7" w14:textId="77777777" w:rsidTr="00350E69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F5B325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Inorganic Chemicals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FE6683B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1.89%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399ED0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16.20%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E8E634F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$264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784AE0F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8163F8E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$232</w:t>
            </w:r>
          </w:p>
        </w:tc>
      </w:tr>
      <w:tr w:rsidR="00350E69" w:rsidRPr="00350E69" w14:paraId="24F108B8" w14:textId="77777777" w:rsidTr="00350E69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592F1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Top 10 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2CD77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76.75%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124A0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11.63%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6D229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$10,718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9460B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$9,602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0C1A1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$7,873</w:t>
            </w:r>
          </w:p>
        </w:tc>
      </w:tr>
      <w:tr w:rsidR="00350E69" w:rsidRPr="00350E69" w14:paraId="38F94B4B" w14:textId="77777777" w:rsidTr="00350E69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DE83C68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Total Kansas Exports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1623925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03738B4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11.36%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31871953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$13,965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6E34704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$12,541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8283154" w14:textId="77777777" w:rsidR="00350E69" w:rsidRPr="00350E69" w:rsidRDefault="00350E69" w:rsidP="0035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E69">
              <w:rPr>
                <w:rFonts w:ascii="Calibri" w:eastAsia="Times New Roman" w:hAnsi="Calibri" w:cs="Calibri"/>
                <w:color w:val="000000"/>
              </w:rPr>
              <w:t>$10,405</w:t>
            </w:r>
          </w:p>
        </w:tc>
      </w:tr>
    </w:tbl>
    <w:p w14:paraId="7E0FEBE4" w14:textId="77777777" w:rsidR="00E17128" w:rsidRDefault="00E17128" w:rsidP="005D66C8">
      <w:pPr>
        <w:spacing w:after="0" w:line="240" w:lineRule="auto"/>
        <w:rPr>
          <w:b/>
          <w:sz w:val="32"/>
          <w:szCs w:val="32"/>
        </w:rPr>
      </w:pPr>
    </w:p>
    <w:sectPr w:rsidR="00E17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6CC9"/>
    <w:multiLevelType w:val="hybridMultilevel"/>
    <w:tmpl w:val="3C0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04CBA"/>
    <w:multiLevelType w:val="hybridMultilevel"/>
    <w:tmpl w:val="64F0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0szAwsDAzNjYytjBW0lEKTi0uzszPAykwtKwFAGX1uoUtAAAA"/>
  </w:docVars>
  <w:rsids>
    <w:rsidRoot w:val="00542D4F"/>
    <w:rsid w:val="00014272"/>
    <w:rsid w:val="00014E2D"/>
    <w:rsid w:val="000151BC"/>
    <w:rsid w:val="000164D5"/>
    <w:rsid w:val="000167D1"/>
    <w:rsid w:val="00022166"/>
    <w:rsid w:val="000305E9"/>
    <w:rsid w:val="00037299"/>
    <w:rsid w:val="00053D42"/>
    <w:rsid w:val="00054EEC"/>
    <w:rsid w:val="000565FE"/>
    <w:rsid w:val="000704CE"/>
    <w:rsid w:val="0007073E"/>
    <w:rsid w:val="00073AC6"/>
    <w:rsid w:val="00080E1F"/>
    <w:rsid w:val="00081EFB"/>
    <w:rsid w:val="00081FB3"/>
    <w:rsid w:val="00091E3D"/>
    <w:rsid w:val="000960E3"/>
    <w:rsid w:val="000B4F47"/>
    <w:rsid w:val="000D7242"/>
    <w:rsid w:val="000E226E"/>
    <w:rsid w:val="000E6426"/>
    <w:rsid w:val="000E75A6"/>
    <w:rsid w:val="000F2E7B"/>
    <w:rsid w:val="000F5F5B"/>
    <w:rsid w:val="001015FE"/>
    <w:rsid w:val="0010602D"/>
    <w:rsid w:val="0011382A"/>
    <w:rsid w:val="00122230"/>
    <w:rsid w:val="00133B80"/>
    <w:rsid w:val="00135C61"/>
    <w:rsid w:val="00141F92"/>
    <w:rsid w:val="00144061"/>
    <w:rsid w:val="0014493C"/>
    <w:rsid w:val="00144EF1"/>
    <w:rsid w:val="001465B2"/>
    <w:rsid w:val="00150BCB"/>
    <w:rsid w:val="001539F4"/>
    <w:rsid w:val="001540E4"/>
    <w:rsid w:val="0015688E"/>
    <w:rsid w:val="00171089"/>
    <w:rsid w:val="00172C56"/>
    <w:rsid w:val="00172EB8"/>
    <w:rsid w:val="00181789"/>
    <w:rsid w:val="0018286F"/>
    <w:rsid w:val="00190A03"/>
    <w:rsid w:val="00190DA3"/>
    <w:rsid w:val="0019497C"/>
    <w:rsid w:val="00197E7A"/>
    <w:rsid w:val="001A18BB"/>
    <w:rsid w:val="001A28C2"/>
    <w:rsid w:val="001A66AD"/>
    <w:rsid w:val="001A781A"/>
    <w:rsid w:val="001C11F7"/>
    <w:rsid w:val="001C4C47"/>
    <w:rsid w:val="001C4CC2"/>
    <w:rsid w:val="001C6CE8"/>
    <w:rsid w:val="001D1688"/>
    <w:rsid w:val="001E58CD"/>
    <w:rsid w:val="0020288A"/>
    <w:rsid w:val="00203D53"/>
    <w:rsid w:val="002040D7"/>
    <w:rsid w:val="0021055A"/>
    <w:rsid w:val="00217B6F"/>
    <w:rsid w:val="00225DE5"/>
    <w:rsid w:val="00226C45"/>
    <w:rsid w:val="00235056"/>
    <w:rsid w:val="002372D0"/>
    <w:rsid w:val="0024631E"/>
    <w:rsid w:val="00246887"/>
    <w:rsid w:val="00246B68"/>
    <w:rsid w:val="002546CA"/>
    <w:rsid w:val="002611F1"/>
    <w:rsid w:val="0027219E"/>
    <w:rsid w:val="00272256"/>
    <w:rsid w:val="00293E0A"/>
    <w:rsid w:val="002A4DF3"/>
    <w:rsid w:val="002A5316"/>
    <w:rsid w:val="002A5B40"/>
    <w:rsid w:val="002A7BB4"/>
    <w:rsid w:val="002B1724"/>
    <w:rsid w:val="002B1BAA"/>
    <w:rsid w:val="002B6AE5"/>
    <w:rsid w:val="002B7E26"/>
    <w:rsid w:val="002C5A8E"/>
    <w:rsid w:val="002C753B"/>
    <w:rsid w:val="002D377C"/>
    <w:rsid w:val="002E207A"/>
    <w:rsid w:val="002E25AA"/>
    <w:rsid w:val="002F3093"/>
    <w:rsid w:val="002F3165"/>
    <w:rsid w:val="002F3425"/>
    <w:rsid w:val="002F4346"/>
    <w:rsid w:val="003061A5"/>
    <w:rsid w:val="0032008B"/>
    <w:rsid w:val="00324062"/>
    <w:rsid w:val="0032579E"/>
    <w:rsid w:val="00326577"/>
    <w:rsid w:val="00331AA2"/>
    <w:rsid w:val="00334B57"/>
    <w:rsid w:val="003408F7"/>
    <w:rsid w:val="003415A2"/>
    <w:rsid w:val="00350E69"/>
    <w:rsid w:val="00355966"/>
    <w:rsid w:val="00355D66"/>
    <w:rsid w:val="003560D2"/>
    <w:rsid w:val="00361E8E"/>
    <w:rsid w:val="00366D8A"/>
    <w:rsid w:val="00370312"/>
    <w:rsid w:val="00374A93"/>
    <w:rsid w:val="0037764B"/>
    <w:rsid w:val="00380CB1"/>
    <w:rsid w:val="00384442"/>
    <w:rsid w:val="003974B6"/>
    <w:rsid w:val="003A0BC9"/>
    <w:rsid w:val="003A389B"/>
    <w:rsid w:val="003A5FEE"/>
    <w:rsid w:val="003A72EC"/>
    <w:rsid w:val="003B07F7"/>
    <w:rsid w:val="003E57D7"/>
    <w:rsid w:val="003F0B83"/>
    <w:rsid w:val="004022ED"/>
    <w:rsid w:val="00405199"/>
    <w:rsid w:val="00410EEB"/>
    <w:rsid w:val="00420227"/>
    <w:rsid w:val="00423B9C"/>
    <w:rsid w:val="004246FF"/>
    <w:rsid w:val="00427745"/>
    <w:rsid w:val="0042781E"/>
    <w:rsid w:val="0043002A"/>
    <w:rsid w:val="0043216A"/>
    <w:rsid w:val="0043569C"/>
    <w:rsid w:val="0044024A"/>
    <w:rsid w:val="00444578"/>
    <w:rsid w:val="00454DFE"/>
    <w:rsid w:val="00461030"/>
    <w:rsid w:val="00466AEA"/>
    <w:rsid w:val="00476C15"/>
    <w:rsid w:val="00481B98"/>
    <w:rsid w:val="00483F17"/>
    <w:rsid w:val="004868CB"/>
    <w:rsid w:val="00491B83"/>
    <w:rsid w:val="0049731C"/>
    <w:rsid w:val="004B5218"/>
    <w:rsid w:val="004B6A2F"/>
    <w:rsid w:val="004C4C7C"/>
    <w:rsid w:val="004E51A9"/>
    <w:rsid w:val="004F2731"/>
    <w:rsid w:val="004F5527"/>
    <w:rsid w:val="005059C8"/>
    <w:rsid w:val="00506F81"/>
    <w:rsid w:val="00510EE2"/>
    <w:rsid w:val="00512ACA"/>
    <w:rsid w:val="005135E3"/>
    <w:rsid w:val="005174DF"/>
    <w:rsid w:val="00521660"/>
    <w:rsid w:val="005318C1"/>
    <w:rsid w:val="00534357"/>
    <w:rsid w:val="005416C4"/>
    <w:rsid w:val="00542D4F"/>
    <w:rsid w:val="00552D23"/>
    <w:rsid w:val="005551C5"/>
    <w:rsid w:val="0056180D"/>
    <w:rsid w:val="0058436F"/>
    <w:rsid w:val="00591731"/>
    <w:rsid w:val="00595360"/>
    <w:rsid w:val="00596D7D"/>
    <w:rsid w:val="005A50A5"/>
    <w:rsid w:val="005B2333"/>
    <w:rsid w:val="005B31A2"/>
    <w:rsid w:val="005B55E4"/>
    <w:rsid w:val="005B7B91"/>
    <w:rsid w:val="005D66C8"/>
    <w:rsid w:val="005E4EEB"/>
    <w:rsid w:val="005F1A02"/>
    <w:rsid w:val="005F5ADB"/>
    <w:rsid w:val="005F6595"/>
    <w:rsid w:val="005F6C06"/>
    <w:rsid w:val="005F6F8A"/>
    <w:rsid w:val="00601172"/>
    <w:rsid w:val="006114E7"/>
    <w:rsid w:val="006142E3"/>
    <w:rsid w:val="00614736"/>
    <w:rsid w:val="00617A2D"/>
    <w:rsid w:val="00620AF1"/>
    <w:rsid w:val="006225AF"/>
    <w:rsid w:val="00623A61"/>
    <w:rsid w:val="00624CF4"/>
    <w:rsid w:val="0062596D"/>
    <w:rsid w:val="00630EEC"/>
    <w:rsid w:val="006356B7"/>
    <w:rsid w:val="00635BF4"/>
    <w:rsid w:val="00640834"/>
    <w:rsid w:val="00642EAF"/>
    <w:rsid w:val="00645568"/>
    <w:rsid w:val="006557A6"/>
    <w:rsid w:val="00656B06"/>
    <w:rsid w:val="006602EF"/>
    <w:rsid w:val="006719D2"/>
    <w:rsid w:val="00672361"/>
    <w:rsid w:val="006935B1"/>
    <w:rsid w:val="00694588"/>
    <w:rsid w:val="00694BF4"/>
    <w:rsid w:val="006A1F92"/>
    <w:rsid w:val="006A4394"/>
    <w:rsid w:val="006A4B09"/>
    <w:rsid w:val="006B20A8"/>
    <w:rsid w:val="006B6F00"/>
    <w:rsid w:val="006D1B32"/>
    <w:rsid w:val="006D1B85"/>
    <w:rsid w:val="006D1FD1"/>
    <w:rsid w:val="006E15E0"/>
    <w:rsid w:val="006F172E"/>
    <w:rsid w:val="006F53E9"/>
    <w:rsid w:val="00700551"/>
    <w:rsid w:val="007059A3"/>
    <w:rsid w:val="007531E4"/>
    <w:rsid w:val="0075541B"/>
    <w:rsid w:val="00756932"/>
    <w:rsid w:val="007636F2"/>
    <w:rsid w:val="00765502"/>
    <w:rsid w:val="0076656D"/>
    <w:rsid w:val="00771766"/>
    <w:rsid w:val="00774316"/>
    <w:rsid w:val="007744F2"/>
    <w:rsid w:val="00777CD1"/>
    <w:rsid w:val="007831CC"/>
    <w:rsid w:val="00795878"/>
    <w:rsid w:val="007B4060"/>
    <w:rsid w:val="007C0982"/>
    <w:rsid w:val="007C2C7B"/>
    <w:rsid w:val="007C4887"/>
    <w:rsid w:val="007C649F"/>
    <w:rsid w:val="007D27A9"/>
    <w:rsid w:val="007D425D"/>
    <w:rsid w:val="007D5A51"/>
    <w:rsid w:val="007E0609"/>
    <w:rsid w:val="00801EC9"/>
    <w:rsid w:val="00811FA9"/>
    <w:rsid w:val="0081629A"/>
    <w:rsid w:val="00827C90"/>
    <w:rsid w:val="00831499"/>
    <w:rsid w:val="0084489C"/>
    <w:rsid w:val="008471FE"/>
    <w:rsid w:val="008502DE"/>
    <w:rsid w:val="00852C72"/>
    <w:rsid w:val="00855389"/>
    <w:rsid w:val="008824FA"/>
    <w:rsid w:val="008842E8"/>
    <w:rsid w:val="008854D6"/>
    <w:rsid w:val="00897E4B"/>
    <w:rsid w:val="008A6E43"/>
    <w:rsid w:val="008A725C"/>
    <w:rsid w:val="008B4A88"/>
    <w:rsid w:val="008C0171"/>
    <w:rsid w:val="008C5BE1"/>
    <w:rsid w:val="008E0377"/>
    <w:rsid w:val="008E3D64"/>
    <w:rsid w:val="008F0C4D"/>
    <w:rsid w:val="00902B66"/>
    <w:rsid w:val="00903180"/>
    <w:rsid w:val="00910093"/>
    <w:rsid w:val="0091778C"/>
    <w:rsid w:val="009265EB"/>
    <w:rsid w:val="00935A36"/>
    <w:rsid w:val="0094433D"/>
    <w:rsid w:val="00956A42"/>
    <w:rsid w:val="00957234"/>
    <w:rsid w:val="009579C1"/>
    <w:rsid w:val="00983887"/>
    <w:rsid w:val="00986BF4"/>
    <w:rsid w:val="00987071"/>
    <w:rsid w:val="00991946"/>
    <w:rsid w:val="009976FC"/>
    <w:rsid w:val="00997B6D"/>
    <w:rsid w:val="009A7294"/>
    <w:rsid w:val="009B29FB"/>
    <w:rsid w:val="009B4EE8"/>
    <w:rsid w:val="009C25C3"/>
    <w:rsid w:val="009C3889"/>
    <w:rsid w:val="009D03F1"/>
    <w:rsid w:val="009E2824"/>
    <w:rsid w:val="009E72B4"/>
    <w:rsid w:val="009E738B"/>
    <w:rsid w:val="009F14D9"/>
    <w:rsid w:val="009F15E1"/>
    <w:rsid w:val="009F3207"/>
    <w:rsid w:val="009F5E7E"/>
    <w:rsid w:val="009F677D"/>
    <w:rsid w:val="009F6ACC"/>
    <w:rsid w:val="00A13C51"/>
    <w:rsid w:val="00A17B3A"/>
    <w:rsid w:val="00A206D2"/>
    <w:rsid w:val="00A379B7"/>
    <w:rsid w:val="00A44C10"/>
    <w:rsid w:val="00A5001B"/>
    <w:rsid w:val="00A52319"/>
    <w:rsid w:val="00A532A3"/>
    <w:rsid w:val="00A56B9E"/>
    <w:rsid w:val="00A6293B"/>
    <w:rsid w:val="00A66E7E"/>
    <w:rsid w:val="00A94767"/>
    <w:rsid w:val="00AA084F"/>
    <w:rsid w:val="00AA2DB8"/>
    <w:rsid w:val="00AB6819"/>
    <w:rsid w:val="00AC111D"/>
    <w:rsid w:val="00AC3E21"/>
    <w:rsid w:val="00AD438F"/>
    <w:rsid w:val="00AE6DF6"/>
    <w:rsid w:val="00AF1D0E"/>
    <w:rsid w:val="00B10E10"/>
    <w:rsid w:val="00B1210B"/>
    <w:rsid w:val="00B301D1"/>
    <w:rsid w:val="00B33307"/>
    <w:rsid w:val="00B35E80"/>
    <w:rsid w:val="00B42FB6"/>
    <w:rsid w:val="00B44CC8"/>
    <w:rsid w:val="00B46A10"/>
    <w:rsid w:val="00B5561A"/>
    <w:rsid w:val="00B65375"/>
    <w:rsid w:val="00B66E31"/>
    <w:rsid w:val="00B72C4E"/>
    <w:rsid w:val="00B83108"/>
    <w:rsid w:val="00B85093"/>
    <w:rsid w:val="00B87887"/>
    <w:rsid w:val="00BA405D"/>
    <w:rsid w:val="00BA4555"/>
    <w:rsid w:val="00BB340C"/>
    <w:rsid w:val="00BC2073"/>
    <w:rsid w:val="00BD040A"/>
    <w:rsid w:val="00BD1E68"/>
    <w:rsid w:val="00BD336B"/>
    <w:rsid w:val="00BD565C"/>
    <w:rsid w:val="00BE3814"/>
    <w:rsid w:val="00BF1531"/>
    <w:rsid w:val="00BF3087"/>
    <w:rsid w:val="00BF504F"/>
    <w:rsid w:val="00BF7719"/>
    <w:rsid w:val="00C0564C"/>
    <w:rsid w:val="00C10873"/>
    <w:rsid w:val="00C119A7"/>
    <w:rsid w:val="00C216AD"/>
    <w:rsid w:val="00C22F0E"/>
    <w:rsid w:val="00C24CF5"/>
    <w:rsid w:val="00C3481B"/>
    <w:rsid w:val="00C463D1"/>
    <w:rsid w:val="00C5064F"/>
    <w:rsid w:val="00C50BCE"/>
    <w:rsid w:val="00C52DFB"/>
    <w:rsid w:val="00C53BB1"/>
    <w:rsid w:val="00C5534B"/>
    <w:rsid w:val="00C60CFE"/>
    <w:rsid w:val="00C64033"/>
    <w:rsid w:val="00C65749"/>
    <w:rsid w:val="00C86B20"/>
    <w:rsid w:val="00C910F5"/>
    <w:rsid w:val="00C962A6"/>
    <w:rsid w:val="00C970E7"/>
    <w:rsid w:val="00CA3278"/>
    <w:rsid w:val="00CA4088"/>
    <w:rsid w:val="00CA7E76"/>
    <w:rsid w:val="00CB393D"/>
    <w:rsid w:val="00CB6AF8"/>
    <w:rsid w:val="00CB6DD8"/>
    <w:rsid w:val="00CD10AA"/>
    <w:rsid w:val="00CD6CBB"/>
    <w:rsid w:val="00CE1F75"/>
    <w:rsid w:val="00CE4BD0"/>
    <w:rsid w:val="00CF0448"/>
    <w:rsid w:val="00CF0B0D"/>
    <w:rsid w:val="00D05EFD"/>
    <w:rsid w:val="00D12748"/>
    <w:rsid w:val="00D12CF7"/>
    <w:rsid w:val="00D16D51"/>
    <w:rsid w:val="00D209D1"/>
    <w:rsid w:val="00D31E9B"/>
    <w:rsid w:val="00D47352"/>
    <w:rsid w:val="00D531BA"/>
    <w:rsid w:val="00D65978"/>
    <w:rsid w:val="00D6738D"/>
    <w:rsid w:val="00D70C10"/>
    <w:rsid w:val="00D71338"/>
    <w:rsid w:val="00D770C5"/>
    <w:rsid w:val="00D86C0D"/>
    <w:rsid w:val="00D874DB"/>
    <w:rsid w:val="00D901C5"/>
    <w:rsid w:val="00D97F0F"/>
    <w:rsid w:val="00DB1718"/>
    <w:rsid w:val="00DB36D8"/>
    <w:rsid w:val="00DB6513"/>
    <w:rsid w:val="00DC00A6"/>
    <w:rsid w:val="00DC1103"/>
    <w:rsid w:val="00DC69E3"/>
    <w:rsid w:val="00DD21AC"/>
    <w:rsid w:val="00DD2FFB"/>
    <w:rsid w:val="00DD4123"/>
    <w:rsid w:val="00DD6735"/>
    <w:rsid w:val="00DE4F80"/>
    <w:rsid w:val="00DF5F08"/>
    <w:rsid w:val="00DF79E3"/>
    <w:rsid w:val="00DF7F4C"/>
    <w:rsid w:val="00E079C6"/>
    <w:rsid w:val="00E13143"/>
    <w:rsid w:val="00E17128"/>
    <w:rsid w:val="00E17481"/>
    <w:rsid w:val="00E20E3F"/>
    <w:rsid w:val="00E2261A"/>
    <w:rsid w:val="00E27171"/>
    <w:rsid w:val="00E305EC"/>
    <w:rsid w:val="00E32391"/>
    <w:rsid w:val="00E446F5"/>
    <w:rsid w:val="00E74BB1"/>
    <w:rsid w:val="00E77E66"/>
    <w:rsid w:val="00E8292E"/>
    <w:rsid w:val="00E83A81"/>
    <w:rsid w:val="00E83F74"/>
    <w:rsid w:val="00E843FE"/>
    <w:rsid w:val="00E869A8"/>
    <w:rsid w:val="00E93B20"/>
    <w:rsid w:val="00EA0778"/>
    <w:rsid w:val="00EA13CE"/>
    <w:rsid w:val="00EA1A90"/>
    <w:rsid w:val="00EA1FF8"/>
    <w:rsid w:val="00EA2DCA"/>
    <w:rsid w:val="00EB0062"/>
    <w:rsid w:val="00EB2101"/>
    <w:rsid w:val="00EC1E1F"/>
    <w:rsid w:val="00EC65C6"/>
    <w:rsid w:val="00EC7D7F"/>
    <w:rsid w:val="00EC7EFE"/>
    <w:rsid w:val="00ED1135"/>
    <w:rsid w:val="00ED413C"/>
    <w:rsid w:val="00ED44FF"/>
    <w:rsid w:val="00ED7E4D"/>
    <w:rsid w:val="00EE1D73"/>
    <w:rsid w:val="00EE2E3F"/>
    <w:rsid w:val="00EE7351"/>
    <w:rsid w:val="00EE763D"/>
    <w:rsid w:val="00F004D7"/>
    <w:rsid w:val="00F01190"/>
    <w:rsid w:val="00F103B7"/>
    <w:rsid w:val="00F10975"/>
    <w:rsid w:val="00F12D03"/>
    <w:rsid w:val="00F1388B"/>
    <w:rsid w:val="00F14455"/>
    <w:rsid w:val="00F2493C"/>
    <w:rsid w:val="00F35B1C"/>
    <w:rsid w:val="00F40E78"/>
    <w:rsid w:val="00F41F80"/>
    <w:rsid w:val="00F43863"/>
    <w:rsid w:val="00F47293"/>
    <w:rsid w:val="00F61429"/>
    <w:rsid w:val="00F636A3"/>
    <w:rsid w:val="00F6757A"/>
    <w:rsid w:val="00F745F4"/>
    <w:rsid w:val="00F85AD8"/>
    <w:rsid w:val="00F863C8"/>
    <w:rsid w:val="00F86EAE"/>
    <w:rsid w:val="00F871CE"/>
    <w:rsid w:val="00F925D2"/>
    <w:rsid w:val="00F963DB"/>
    <w:rsid w:val="00F96BEE"/>
    <w:rsid w:val="00FA45BC"/>
    <w:rsid w:val="00FA46CF"/>
    <w:rsid w:val="00FB00A0"/>
    <w:rsid w:val="00FB3F18"/>
    <w:rsid w:val="00FC0E10"/>
    <w:rsid w:val="00FC3436"/>
    <w:rsid w:val="00FC6138"/>
    <w:rsid w:val="00FD12F3"/>
    <w:rsid w:val="00FD4BF2"/>
    <w:rsid w:val="00FD61B7"/>
    <w:rsid w:val="00FD74A0"/>
    <w:rsid w:val="00FE25E3"/>
    <w:rsid w:val="00FE6CF0"/>
    <w:rsid w:val="00FF443B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E4D9"/>
  <w15:chartTrackingRefBased/>
  <w15:docId w15:val="{B5386CF9-DDF5-4711-85C2-E8DA44DF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1300-5ADF-4D08-82EF-386F51E3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4297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Lu [KDC]</dc:creator>
  <cp:keywords/>
  <dc:description/>
  <cp:lastModifiedBy>Kathleen Dultmeier [KDC]</cp:lastModifiedBy>
  <cp:revision>2</cp:revision>
  <cp:lastPrinted>2023-03-02T22:16:00Z</cp:lastPrinted>
  <dcterms:created xsi:type="dcterms:W3CDTF">2023-03-02T22:22:00Z</dcterms:created>
  <dcterms:modified xsi:type="dcterms:W3CDTF">2023-03-02T22:22:00Z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4cf494c30280fe4a2b8eb346a3d6a91b8c26587c216abe6d35a4d483f4be1aef</vt:lpwstr>
  </property>
</Properties>
</file>