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BD90" w14:textId="46F2691D" w:rsidR="000663E8" w:rsidRPr="00041A32" w:rsidRDefault="00F46988" w:rsidP="000663E8">
      <w:pPr>
        <w:rPr>
          <w:b/>
          <w:bCs/>
          <w:sz w:val="24"/>
          <w:szCs w:val="24"/>
        </w:rPr>
      </w:pPr>
      <w:r w:rsidRPr="00041A32">
        <w:rPr>
          <w:b/>
          <w:bCs/>
          <w:sz w:val="24"/>
          <w:szCs w:val="24"/>
        </w:rPr>
        <w:t>Housing</w:t>
      </w:r>
      <w:r w:rsidR="000663E8" w:rsidRPr="00041A32">
        <w:rPr>
          <w:b/>
          <w:bCs/>
          <w:sz w:val="24"/>
          <w:szCs w:val="24"/>
        </w:rPr>
        <w:t xml:space="preserve"> Grant</w:t>
      </w:r>
      <w:r w:rsidR="004068C4" w:rsidRPr="00041A32">
        <w:rPr>
          <w:b/>
          <w:bCs/>
          <w:sz w:val="24"/>
          <w:szCs w:val="24"/>
        </w:rPr>
        <w:t xml:space="preserve"> </w:t>
      </w:r>
      <w:r w:rsidR="00997E05" w:rsidRPr="00041A32">
        <w:rPr>
          <w:b/>
          <w:bCs/>
          <w:sz w:val="24"/>
          <w:szCs w:val="24"/>
        </w:rPr>
        <w:t>2023</w:t>
      </w:r>
    </w:p>
    <w:p w14:paraId="14010C0F" w14:textId="07384689" w:rsidR="0089398D" w:rsidRPr="00041A32" w:rsidRDefault="0089398D" w:rsidP="000663E8">
      <w:pPr>
        <w:rPr>
          <w:b/>
          <w:bCs/>
          <w:sz w:val="24"/>
          <w:szCs w:val="24"/>
        </w:rPr>
      </w:pPr>
    </w:p>
    <w:p w14:paraId="4B670233" w14:textId="6940A9B5" w:rsidR="002654B6" w:rsidRPr="00041A32" w:rsidRDefault="0089398D" w:rsidP="002654B6">
      <w:pPr>
        <w:tabs>
          <w:tab w:val="left" w:pos="720"/>
        </w:tabs>
        <w:rPr>
          <w:sz w:val="24"/>
          <w:szCs w:val="24"/>
        </w:rPr>
      </w:pPr>
      <w:r w:rsidRPr="00041A32">
        <w:rPr>
          <w:sz w:val="24"/>
          <w:szCs w:val="24"/>
        </w:rPr>
        <w:t xml:space="preserve">Applications for Housing can be submitted from January 2, </w:t>
      </w:r>
      <w:r w:rsidR="00997E05" w:rsidRPr="00041A32">
        <w:rPr>
          <w:sz w:val="24"/>
          <w:szCs w:val="24"/>
        </w:rPr>
        <w:t>2023</w:t>
      </w:r>
      <w:r w:rsidRPr="00041A32">
        <w:rPr>
          <w:sz w:val="24"/>
          <w:szCs w:val="24"/>
        </w:rPr>
        <w:t xml:space="preserve">, through December 1, </w:t>
      </w:r>
      <w:r w:rsidR="00997E05" w:rsidRPr="00041A32">
        <w:rPr>
          <w:sz w:val="24"/>
          <w:szCs w:val="24"/>
        </w:rPr>
        <w:t>2023</w:t>
      </w:r>
      <w:r w:rsidRPr="00041A32">
        <w:rPr>
          <w:sz w:val="24"/>
          <w:szCs w:val="24"/>
        </w:rPr>
        <w:t>.</w:t>
      </w:r>
      <w:r w:rsidR="00FE5824" w:rsidRPr="00041A32">
        <w:rPr>
          <w:sz w:val="24"/>
          <w:szCs w:val="24"/>
        </w:rPr>
        <w:t xml:space="preserve">  Applications will be accepted until all funding is expended.  </w:t>
      </w:r>
      <w:r w:rsidR="004068C4" w:rsidRPr="00041A32">
        <w:rPr>
          <w:sz w:val="24"/>
          <w:szCs w:val="24"/>
        </w:rPr>
        <w:t>A</w:t>
      </w:r>
      <w:r w:rsidR="001230B4" w:rsidRPr="00041A32">
        <w:rPr>
          <w:sz w:val="24"/>
          <w:szCs w:val="24"/>
        </w:rPr>
        <w:t xml:space="preserve"> </w:t>
      </w:r>
      <w:r w:rsidR="004068C4" w:rsidRPr="00041A32">
        <w:rPr>
          <w:sz w:val="24"/>
          <w:szCs w:val="24"/>
        </w:rPr>
        <w:t xml:space="preserve">city </w:t>
      </w:r>
      <w:r w:rsidR="001230B4" w:rsidRPr="00041A32">
        <w:rPr>
          <w:sz w:val="24"/>
          <w:szCs w:val="24"/>
        </w:rPr>
        <w:t>must have properly completed a Housing Assessment Tool (HAT)</w:t>
      </w:r>
      <w:r w:rsidR="000A15D4" w:rsidRPr="00041A32">
        <w:rPr>
          <w:sz w:val="24"/>
          <w:szCs w:val="24"/>
        </w:rPr>
        <w:t xml:space="preserve"> </w:t>
      </w:r>
      <w:r w:rsidR="001230B4" w:rsidRPr="00041A32">
        <w:rPr>
          <w:sz w:val="24"/>
          <w:szCs w:val="24"/>
        </w:rPr>
        <w:t xml:space="preserve">and the application must be supported by the results of the HAT.  The project must be reasonable, be an eligible activity, and meet a national objective.  The application must define in detail the </w:t>
      </w:r>
      <w:r w:rsidR="004068C4" w:rsidRPr="00041A32">
        <w:rPr>
          <w:sz w:val="24"/>
          <w:szCs w:val="24"/>
        </w:rPr>
        <w:t>city’s</w:t>
      </w:r>
      <w:r w:rsidR="001230B4" w:rsidRPr="00041A32">
        <w:rPr>
          <w:sz w:val="24"/>
          <w:szCs w:val="24"/>
        </w:rPr>
        <w:t xml:space="preserve"> intended project activities.</w:t>
      </w:r>
      <w:r w:rsidR="00FE5824" w:rsidRPr="00041A32">
        <w:rPr>
          <w:sz w:val="24"/>
          <w:szCs w:val="24"/>
        </w:rPr>
        <w:t xml:space="preserve">  </w:t>
      </w:r>
    </w:p>
    <w:p w14:paraId="3D7DCC1F" w14:textId="77777777" w:rsidR="001230B4" w:rsidRPr="00041A32" w:rsidRDefault="001230B4" w:rsidP="001230B4">
      <w:pPr>
        <w:spacing w:before="174"/>
        <w:jc w:val="both"/>
        <w:rPr>
          <w:b/>
          <w:bCs/>
          <w:spacing w:val="-2"/>
          <w:sz w:val="24"/>
          <w:szCs w:val="24"/>
        </w:rPr>
      </w:pPr>
      <w:r w:rsidRPr="00041A32">
        <w:rPr>
          <w:b/>
          <w:bCs/>
          <w:spacing w:val="-2"/>
          <w:sz w:val="24"/>
          <w:szCs w:val="24"/>
        </w:rPr>
        <w:t>National</w:t>
      </w:r>
      <w:r w:rsidRPr="00041A32">
        <w:rPr>
          <w:b/>
          <w:bCs/>
          <w:sz w:val="24"/>
          <w:szCs w:val="24"/>
        </w:rPr>
        <w:t xml:space="preserve"> </w:t>
      </w:r>
      <w:r w:rsidRPr="00041A32">
        <w:rPr>
          <w:b/>
          <w:bCs/>
          <w:spacing w:val="-2"/>
          <w:sz w:val="24"/>
          <w:szCs w:val="24"/>
        </w:rPr>
        <w:t>Objective</w:t>
      </w:r>
    </w:p>
    <w:p w14:paraId="01B138D4" w14:textId="282D1F7E" w:rsidR="00F27210" w:rsidRPr="00041A32" w:rsidRDefault="001230B4" w:rsidP="001230B4">
      <w:pPr>
        <w:tabs>
          <w:tab w:val="left" w:pos="1561"/>
        </w:tabs>
        <w:rPr>
          <w:sz w:val="24"/>
          <w:szCs w:val="24"/>
        </w:rPr>
      </w:pPr>
      <w:r w:rsidRPr="00041A32">
        <w:rPr>
          <w:sz w:val="24"/>
          <w:szCs w:val="24"/>
        </w:rPr>
        <w:t xml:space="preserve">The CDBG housing </w:t>
      </w:r>
      <w:r w:rsidR="004068C4" w:rsidRPr="00041A32">
        <w:rPr>
          <w:sz w:val="24"/>
          <w:szCs w:val="24"/>
        </w:rPr>
        <w:t xml:space="preserve">project will </w:t>
      </w:r>
      <w:r w:rsidRPr="00041A32">
        <w:rPr>
          <w:sz w:val="24"/>
          <w:szCs w:val="24"/>
        </w:rPr>
        <w:t>me</w:t>
      </w:r>
      <w:r w:rsidR="004068C4" w:rsidRPr="00041A32">
        <w:rPr>
          <w:sz w:val="24"/>
          <w:szCs w:val="24"/>
        </w:rPr>
        <w:t>et a</w:t>
      </w:r>
      <w:r w:rsidRPr="00041A32">
        <w:rPr>
          <w:sz w:val="24"/>
          <w:szCs w:val="24"/>
        </w:rPr>
        <w:t xml:space="preserve"> national objective of benefitting low- and moderate-income (LMI) households and slum</w:t>
      </w:r>
      <w:r w:rsidR="004068C4" w:rsidRPr="00041A32">
        <w:rPr>
          <w:sz w:val="24"/>
          <w:szCs w:val="24"/>
        </w:rPr>
        <w:t xml:space="preserve"> and </w:t>
      </w:r>
      <w:r w:rsidRPr="00041A32">
        <w:rPr>
          <w:sz w:val="24"/>
          <w:szCs w:val="24"/>
        </w:rPr>
        <w:t xml:space="preserve">blight.  After a project is funded, each </w:t>
      </w:r>
      <w:r w:rsidR="004068C4" w:rsidRPr="00041A32">
        <w:rPr>
          <w:sz w:val="24"/>
          <w:szCs w:val="24"/>
        </w:rPr>
        <w:t>applicant</w:t>
      </w:r>
      <w:r w:rsidRPr="00041A32">
        <w:rPr>
          <w:sz w:val="24"/>
          <w:szCs w:val="24"/>
        </w:rPr>
        <w:t xml:space="preserve"> </w:t>
      </w:r>
      <w:r w:rsidR="004068C4" w:rsidRPr="00041A32">
        <w:rPr>
          <w:sz w:val="24"/>
          <w:szCs w:val="24"/>
        </w:rPr>
        <w:t xml:space="preserve">will </w:t>
      </w:r>
      <w:r w:rsidRPr="00041A32">
        <w:rPr>
          <w:sz w:val="24"/>
          <w:szCs w:val="24"/>
        </w:rPr>
        <w:t xml:space="preserve">submit </w:t>
      </w:r>
      <w:r w:rsidR="004068C4" w:rsidRPr="00041A32">
        <w:rPr>
          <w:sz w:val="24"/>
          <w:szCs w:val="24"/>
        </w:rPr>
        <w:t>tax returns</w:t>
      </w:r>
      <w:r w:rsidRPr="00041A32">
        <w:rPr>
          <w:sz w:val="24"/>
          <w:szCs w:val="24"/>
        </w:rPr>
        <w:t xml:space="preserve"> </w:t>
      </w:r>
      <w:r w:rsidR="004068C4" w:rsidRPr="00041A32">
        <w:rPr>
          <w:sz w:val="24"/>
          <w:szCs w:val="24"/>
        </w:rPr>
        <w:t xml:space="preserve">to prove the household is a </w:t>
      </w:r>
      <w:r w:rsidRPr="00041A32">
        <w:rPr>
          <w:sz w:val="24"/>
          <w:szCs w:val="24"/>
        </w:rPr>
        <w:t xml:space="preserve">low-and moderate-income (LMI) household.  If a city wants to submit a Neighborhood Development (ND) application, CDBG staff will assist the city to select a target area to conduct an LMI survey.  After the survey </w:t>
      </w:r>
      <w:r w:rsidR="00CB4120" w:rsidRPr="00041A32">
        <w:rPr>
          <w:sz w:val="24"/>
          <w:szCs w:val="24"/>
        </w:rPr>
        <w:t>i</w:t>
      </w:r>
      <w:r w:rsidR="00DE0C7C" w:rsidRPr="00041A32">
        <w:rPr>
          <w:sz w:val="24"/>
          <w:szCs w:val="24"/>
        </w:rPr>
        <w:t>s</w:t>
      </w:r>
      <w:r w:rsidRPr="00041A32">
        <w:rPr>
          <w:sz w:val="24"/>
          <w:szCs w:val="24"/>
        </w:rPr>
        <w:t xml:space="preserve"> </w:t>
      </w:r>
      <w:r w:rsidR="00DE0C7C" w:rsidRPr="00041A32">
        <w:rPr>
          <w:sz w:val="24"/>
          <w:szCs w:val="24"/>
        </w:rPr>
        <w:t>tabulated,</w:t>
      </w:r>
      <w:r w:rsidRPr="00041A32">
        <w:rPr>
          <w:sz w:val="24"/>
          <w:szCs w:val="24"/>
        </w:rPr>
        <w:t xml:space="preserve"> it must prove the area to be over 51% </w:t>
      </w:r>
      <w:r w:rsidR="00DE0C7C" w:rsidRPr="00041A32">
        <w:rPr>
          <w:sz w:val="24"/>
          <w:szCs w:val="24"/>
        </w:rPr>
        <w:t>LMI</w:t>
      </w:r>
      <w:r w:rsidRPr="00041A32">
        <w:rPr>
          <w:sz w:val="24"/>
          <w:szCs w:val="24"/>
        </w:rPr>
        <w:t xml:space="preserve">. </w:t>
      </w:r>
      <w:r w:rsidR="004068C4" w:rsidRPr="00041A32">
        <w:rPr>
          <w:sz w:val="24"/>
          <w:szCs w:val="24"/>
        </w:rPr>
        <w:t xml:space="preserve"> Demolition activities meet a national objective</w:t>
      </w:r>
      <w:r w:rsidR="00DE0C7C" w:rsidRPr="00041A32">
        <w:rPr>
          <w:sz w:val="24"/>
          <w:szCs w:val="24"/>
        </w:rPr>
        <w:t xml:space="preserve"> using the spot slum and blight category.</w:t>
      </w:r>
    </w:p>
    <w:p w14:paraId="2E32C9AE" w14:textId="6D6FEC6E" w:rsidR="007A3A5A" w:rsidRPr="00041A32" w:rsidRDefault="007A3A5A" w:rsidP="001230B4">
      <w:pPr>
        <w:tabs>
          <w:tab w:val="left" w:pos="1561"/>
        </w:tabs>
        <w:rPr>
          <w:sz w:val="24"/>
          <w:szCs w:val="24"/>
        </w:rPr>
      </w:pPr>
    </w:p>
    <w:p w14:paraId="727F2C5A" w14:textId="77777777" w:rsidR="007A3A5A" w:rsidRPr="00041A32" w:rsidRDefault="007A3A5A" w:rsidP="007A3A5A">
      <w:pPr>
        <w:rPr>
          <w:b/>
          <w:bCs/>
          <w:sz w:val="24"/>
          <w:szCs w:val="24"/>
        </w:rPr>
      </w:pPr>
      <w:r w:rsidRPr="00041A32">
        <w:rPr>
          <w:b/>
          <w:bCs/>
          <w:sz w:val="24"/>
          <w:szCs w:val="24"/>
        </w:rPr>
        <w:t>Eligible Applicants</w:t>
      </w:r>
    </w:p>
    <w:p w14:paraId="13D57E98" w14:textId="61D9C49B" w:rsidR="007A3A5A" w:rsidRPr="00041A32" w:rsidRDefault="007A3A5A" w:rsidP="007A3A5A">
      <w:pPr>
        <w:rPr>
          <w:sz w:val="24"/>
          <w:szCs w:val="24"/>
        </w:rPr>
      </w:pPr>
      <w:r w:rsidRPr="00041A32">
        <w:rPr>
          <w:sz w:val="24"/>
          <w:szCs w:val="24"/>
        </w:rPr>
        <w:t xml:space="preserve">All incorporated cities in Kansas that do not receive an annual CDBG entitlement allocation from HUD are eligible to apply to the Kansas CDBG program. (The following communities are considered entitlement communities and are ineligible to participate in the state program: Kansas City, Lawrence, Leavenworth, Manhattan, Overland Park, Topeka, Wichita, and all of Johnson County.) </w:t>
      </w:r>
    </w:p>
    <w:p w14:paraId="40EBA7EF" w14:textId="2B965309" w:rsidR="000663E8" w:rsidRPr="00041A32" w:rsidRDefault="000663E8" w:rsidP="000663E8">
      <w:pPr>
        <w:pStyle w:val="BodyText2"/>
        <w:rPr>
          <w:b/>
          <w:bCs/>
          <w:szCs w:val="24"/>
        </w:rPr>
      </w:pPr>
    </w:p>
    <w:p w14:paraId="61D9E29E" w14:textId="77777777" w:rsidR="0037030D" w:rsidRPr="00041A32" w:rsidRDefault="0037030D" w:rsidP="0037030D">
      <w:pPr>
        <w:spacing w:before="23"/>
        <w:rPr>
          <w:b/>
          <w:bCs/>
          <w:spacing w:val="-2"/>
          <w:sz w:val="24"/>
          <w:szCs w:val="24"/>
        </w:rPr>
      </w:pPr>
      <w:r w:rsidRPr="00041A32">
        <w:rPr>
          <w:b/>
          <w:bCs/>
          <w:sz w:val="24"/>
          <w:szCs w:val="24"/>
        </w:rPr>
        <w:t>Eligible</w:t>
      </w:r>
      <w:r w:rsidRPr="00041A32">
        <w:rPr>
          <w:b/>
          <w:bCs/>
          <w:spacing w:val="-15"/>
          <w:sz w:val="24"/>
          <w:szCs w:val="24"/>
        </w:rPr>
        <w:t xml:space="preserve"> </w:t>
      </w:r>
      <w:r w:rsidRPr="00041A32">
        <w:rPr>
          <w:b/>
          <w:bCs/>
          <w:sz w:val="24"/>
          <w:szCs w:val="24"/>
        </w:rPr>
        <w:t>Use</w:t>
      </w:r>
      <w:r w:rsidRPr="00041A32">
        <w:rPr>
          <w:b/>
          <w:bCs/>
          <w:spacing w:val="-1"/>
          <w:sz w:val="24"/>
          <w:szCs w:val="24"/>
        </w:rPr>
        <w:t xml:space="preserve"> </w:t>
      </w:r>
      <w:r w:rsidRPr="00041A32">
        <w:rPr>
          <w:b/>
          <w:bCs/>
          <w:sz w:val="24"/>
          <w:szCs w:val="24"/>
        </w:rPr>
        <w:t>of</w:t>
      </w:r>
      <w:r w:rsidRPr="00041A32">
        <w:rPr>
          <w:b/>
          <w:bCs/>
          <w:spacing w:val="-1"/>
          <w:sz w:val="24"/>
          <w:szCs w:val="24"/>
        </w:rPr>
        <w:t xml:space="preserve"> </w:t>
      </w:r>
      <w:r w:rsidRPr="00041A32">
        <w:rPr>
          <w:b/>
          <w:bCs/>
          <w:spacing w:val="-2"/>
          <w:sz w:val="24"/>
          <w:szCs w:val="24"/>
        </w:rPr>
        <w:t>Funds</w:t>
      </w:r>
    </w:p>
    <w:p w14:paraId="627315B4" w14:textId="21C1961E" w:rsidR="003E7A55" w:rsidRPr="00041A32" w:rsidRDefault="000663E8" w:rsidP="00CB4120">
      <w:pPr>
        <w:pStyle w:val="BodyText2"/>
        <w:rPr>
          <w:szCs w:val="24"/>
        </w:rPr>
      </w:pPr>
      <w:r w:rsidRPr="00041A32">
        <w:rPr>
          <w:szCs w:val="24"/>
        </w:rPr>
        <w:t xml:space="preserve">The CDBG Housing program is divided into housing rehabilitation/demolition or neighborhood development. </w:t>
      </w:r>
      <w:r w:rsidR="001230B4" w:rsidRPr="00041A32">
        <w:rPr>
          <w:szCs w:val="24"/>
        </w:rPr>
        <w:t xml:space="preserve"> CDBG housing activities are limited to rehabilitation (</w:t>
      </w:r>
      <w:r w:rsidR="00DE0C7C" w:rsidRPr="00041A32">
        <w:rPr>
          <w:szCs w:val="24"/>
        </w:rPr>
        <w:t>Owner occupied</w:t>
      </w:r>
      <w:r w:rsidR="001230B4" w:rsidRPr="00041A32">
        <w:rPr>
          <w:szCs w:val="24"/>
        </w:rPr>
        <w:t xml:space="preserve"> and rental); relocation of households from dilapidated residences; demolition of dilapidated housing units; removal of architectural barriers in residential properties; activities of other organizations relating to housing; and energy use strategy activities relating to housing.  Costs for rehabilitation application processing and other personnel-related expenses are considered administrative, except for housing inspection and relocation management, which are considered housing activities.  The filing fees will be shown in administration but will not be charged against the maximum limits.</w:t>
      </w:r>
    </w:p>
    <w:p w14:paraId="446CC321" w14:textId="77777777" w:rsidR="00CB4120" w:rsidRPr="00041A32" w:rsidRDefault="00CB4120" w:rsidP="00CB4120">
      <w:pPr>
        <w:pStyle w:val="BodyText2"/>
        <w:rPr>
          <w:b/>
          <w:bCs/>
          <w:szCs w:val="24"/>
        </w:rPr>
      </w:pPr>
    </w:p>
    <w:p w14:paraId="0E6BB494" w14:textId="5A220296" w:rsidR="003E7A55" w:rsidRPr="00041A32" w:rsidRDefault="003E7A55" w:rsidP="001230B4">
      <w:pPr>
        <w:pStyle w:val="BodyText2"/>
        <w:ind w:left="720"/>
        <w:rPr>
          <w:b/>
          <w:bCs/>
          <w:szCs w:val="24"/>
        </w:rPr>
      </w:pPr>
      <w:r w:rsidRPr="00041A32">
        <w:rPr>
          <w:b/>
          <w:bCs/>
          <w:szCs w:val="24"/>
        </w:rPr>
        <w:t xml:space="preserve">Housing </w:t>
      </w:r>
      <w:r w:rsidR="00041A32">
        <w:rPr>
          <w:b/>
          <w:bCs/>
          <w:szCs w:val="24"/>
        </w:rPr>
        <w:t>R</w:t>
      </w:r>
      <w:r w:rsidRPr="00041A32">
        <w:rPr>
          <w:b/>
          <w:bCs/>
          <w:szCs w:val="24"/>
        </w:rPr>
        <w:t xml:space="preserve">ehabilitation  </w:t>
      </w:r>
    </w:p>
    <w:p w14:paraId="3F540863" w14:textId="74148D8D" w:rsidR="003E7A55" w:rsidRPr="00041A32" w:rsidRDefault="000663E8" w:rsidP="001230B4">
      <w:pPr>
        <w:pStyle w:val="BodyText2"/>
        <w:numPr>
          <w:ilvl w:val="0"/>
          <w:numId w:val="44"/>
        </w:numPr>
        <w:ind w:left="1800"/>
        <w:rPr>
          <w:szCs w:val="24"/>
        </w:rPr>
      </w:pPr>
      <w:r w:rsidRPr="00041A32">
        <w:rPr>
          <w:szCs w:val="24"/>
        </w:rPr>
        <w:t>Rehabilitation of single-family/owner-occupied or rental rehabilitation</w:t>
      </w:r>
    </w:p>
    <w:p w14:paraId="53876164" w14:textId="0D70BE86" w:rsidR="003E7A55" w:rsidRPr="00041A32" w:rsidRDefault="0037030D" w:rsidP="001230B4">
      <w:pPr>
        <w:pStyle w:val="BodyText2"/>
        <w:numPr>
          <w:ilvl w:val="0"/>
          <w:numId w:val="44"/>
        </w:numPr>
        <w:ind w:left="1800"/>
        <w:rPr>
          <w:szCs w:val="24"/>
        </w:rPr>
      </w:pPr>
      <w:r w:rsidRPr="00041A32">
        <w:rPr>
          <w:szCs w:val="24"/>
        </w:rPr>
        <w:t>Upper-</w:t>
      </w:r>
      <w:r w:rsidR="005A3146" w:rsidRPr="00041A32">
        <w:rPr>
          <w:szCs w:val="24"/>
        </w:rPr>
        <w:t>story</w:t>
      </w:r>
      <w:r w:rsidR="003E7A55" w:rsidRPr="00041A32">
        <w:rPr>
          <w:szCs w:val="24"/>
        </w:rPr>
        <w:t xml:space="preserve"> housing</w:t>
      </w:r>
    </w:p>
    <w:p w14:paraId="5EC6BBFB" w14:textId="1B869B90" w:rsidR="003E7A55" w:rsidRPr="00041A32" w:rsidRDefault="0037030D" w:rsidP="00F61766">
      <w:pPr>
        <w:pStyle w:val="BodyText2"/>
        <w:numPr>
          <w:ilvl w:val="0"/>
          <w:numId w:val="44"/>
        </w:numPr>
        <w:ind w:left="1800"/>
        <w:rPr>
          <w:szCs w:val="24"/>
        </w:rPr>
      </w:pPr>
      <w:r w:rsidRPr="00041A32">
        <w:rPr>
          <w:szCs w:val="24"/>
        </w:rPr>
        <w:t>Renovation</w:t>
      </w:r>
      <w:r w:rsidR="003E7A55" w:rsidRPr="00041A32">
        <w:rPr>
          <w:szCs w:val="24"/>
        </w:rPr>
        <w:t xml:space="preserve"> of building to create housing</w:t>
      </w:r>
    </w:p>
    <w:p w14:paraId="160A9D3C" w14:textId="77777777" w:rsidR="00CB4120" w:rsidRPr="00041A32" w:rsidRDefault="00CB4120" w:rsidP="00CB4120">
      <w:pPr>
        <w:pStyle w:val="BodyText2"/>
        <w:ind w:left="1440"/>
        <w:rPr>
          <w:b/>
          <w:bCs/>
          <w:szCs w:val="24"/>
        </w:rPr>
      </w:pPr>
    </w:p>
    <w:p w14:paraId="5BBB7D83" w14:textId="78FF3E3E" w:rsidR="000663E8" w:rsidRPr="00041A32" w:rsidRDefault="003E7A55" w:rsidP="001230B4">
      <w:pPr>
        <w:pStyle w:val="BodyText2"/>
        <w:ind w:left="720"/>
        <w:rPr>
          <w:b/>
          <w:bCs/>
          <w:szCs w:val="24"/>
        </w:rPr>
      </w:pPr>
      <w:r w:rsidRPr="00041A32">
        <w:rPr>
          <w:b/>
          <w:bCs/>
          <w:szCs w:val="24"/>
        </w:rPr>
        <w:t>Demolition</w:t>
      </w:r>
    </w:p>
    <w:p w14:paraId="73D5A612" w14:textId="2273B701" w:rsidR="00CB4120" w:rsidRPr="00041A32" w:rsidRDefault="003E7A55" w:rsidP="000B0774">
      <w:pPr>
        <w:pStyle w:val="BodyText2"/>
        <w:numPr>
          <w:ilvl w:val="0"/>
          <w:numId w:val="44"/>
        </w:numPr>
        <w:ind w:left="1800"/>
        <w:rPr>
          <w:szCs w:val="24"/>
        </w:rPr>
      </w:pPr>
      <w:r w:rsidRPr="00041A32">
        <w:rPr>
          <w:szCs w:val="24"/>
        </w:rPr>
        <w:t>Demolition of housing units</w:t>
      </w:r>
      <w:r w:rsidR="002654B6" w:rsidRPr="00041A32">
        <w:rPr>
          <w:szCs w:val="24"/>
        </w:rPr>
        <w:t xml:space="preserve"> and </w:t>
      </w:r>
      <w:r w:rsidR="00D974AC" w:rsidRPr="00041A32">
        <w:rPr>
          <w:szCs w:val="24"/>
        </w:rPr>
        <w:t>out outbuilding</w:t>
      </w:r>
      <w:r w:rsidR="002654B6" w:rsidRPr="00041A32">
        <w:rPr>
          <w:szCs w:val="24"/>
        </w:rPr>
        <w:t xml:space="preserve"> on </w:t>
      </w:r>
      <w:r w:rsidR="00D974AC" w:rsidRPr="00041A32">
        <w:rPr>
          <w:szCs w:val="24"/>
        </w:rPr>
        <w:t xml:space="preserve">the </w:t>
      </w:r>
      <w:r w:rsidR="002654B6" w:rsidRPr="00041A32">
        <w:rPr>
          <w:szCs w:val="24"/>
        </w:rPr>
        <w:t xml:space="preserve">same property.  </w:t>
      </w:r>
    </w:p>
    <w:p w14:paraId="661EDE5A" w14:textId="303EC9EF" w:rsidR="005A3146" w:rsidRPr="00041A32" w:rsidRDefault="003E7A55" w:rsidP="00CB4120">
      <w:pPr>
        <w:pStyle w:val="BodyText2"/>
        <w:ind w:left="1800"/>
        <w:rPr>
          <w:b/>
          <w:bCs/>
          <w:szCs w:val="24"/>
        </w:rPr>
      </w:pPr>
      <w:r w:rsidRPr="00041A32">
        <w:rPr>
          <w:b/>
          <w:bCs/>
          <w:szCs w:val="24"/>
        </w:rPr>
        <w:t xml:space="preserve"> </w:t>
      </w:r>
    </w:p>
    <w:p w14:paraId="579F5B48" w14:textId="77777777" w:rsidR="00FE074F" w:rsidRPr="00041A32" w:rsidRDefault="0037030D" w:rsidP="001230B4">
      <w:pPr>
        <w:pStyle w:val="BodyText"/>
        <w:spacing w:before="6"/>
        <w:ind w:left="720"/>
        <w:rPr>
          <w:b/>
          <w:bCs/>
          <w:spacing w:val="-2"/>
          <w:szCs w:val="24"/>
        </w:rPr>
      </w:pPr>
      <w:r w:rsidRPr="00041A32">
        <w:rPr>
          <w:b/>
          <w:bCs/>
          <w:spacing w:val="-2"/>
          <w:szCs w:val="24"/>
        </w:rPr>
        <w:t>Neighborhood Development</w:t>
      </w:r>
    </w:p>
    <w:p w14:paraId="7303BB85" w14:textId="387FA7C6" w:rsidR="003E7A55" w:rsidRPr="00041A32" w:rsidRDefault="00FE074F" w:rsidP="003971DE">
      <w:pPr>
        <w:pStyle w:val="BodyText"/>
        <w:numPr>
          <w:ilvl w:val="1"/>
          <w:numId w:val="44"/>
        </w:numPr>
        <w:overflowPunct/>
        <w:autoSpaceDE/>
        <w:autoSpaceDN/>
        <w:adjustRightInd/>
        <w:spacing w:before="6"/>
        <w:contextualSpacing/>
        <w:textAlignment w:val="auto"/>
        <w:rPr>
          <w:szCs w:val="24"/>
        </w:rPr>
      </w:pPr>
      <w:r w:rsidRPr="00041A32">
        <w:rPr>
          <w:szCs w:val="24"/>
        </w:rPr>
        <w:t>The above activities plus, p</w:t>
      </w:r>
      <w:r w:rsidR="0037030D" w:rsidRPr="00041A32">
        <w:rPr>
          <w:szCs w:val="24"/>
        </w:rPr>
        <w:t>ublic facilities improvements (street, drainage, curbs, public sidewalks)</w:t>
      </w:r>
    </w:p>
    <w:p w14:paraId="3067BCFA" w14:textId="7E3EC93C" w:rsidR="002654B6" w:rsidRPr="00041A32" w:rsidRDefault="00D974AC" w:rsidP="002654B6">
      <w:pPr>
        <w:numPr>
          <w:ilvl w:val="1"/>
          <w:numId w:val="44"/>
        </w:numPr>
        <w:tabs>
          <w:tab w:val="left" w:pos="720"/>
        </w:tabs>
        <w:rPr>
          <w:sz w:val="24"/>
          <w:szCs w:val="24"/>
        </w:rPr>
      </w:pPr>
      <w:r w:rsidRPr="00041A32">
        <w:rPr>
          <w:sz w:val="24"/>
          <w:szCs w:val="24"/>
        </w:rPr>
        <w:t>Preliminary</w:t>
      </w:r>
      <w:r w:rsidR="002654B6" w:rsidRPr="00041A32">
        <w:rPr>
          <w:sz w:val="24"/>
          <w:szCs w:val="24"/>
        </w:rPr>
        <w:t xml:space="preserve"> Engineer Report is required for ND applications.</w:t>
      </w:r>
    </w:p>
    <w:p w14:paraId="14541D4A" w14:textId="77777777" w:rsidR="002654B6" w:rsidRPr="00041A32" w:rsidRDefault="002654B6" w:rsidP="002654B6">
      <w:pPr>
        <w:pStyle w:val="BodyText"/>
        <w:overflowPunct/>
        <w:autoSpaceDE/>
        <w:autoSpaceDN/>
        <w:adjustRightInd/>
        <w:spacing w:before="6"/>
        <w:ind w:left="1440"/>
        <w:contextualSpacing/>
        <w:textAlignment w:val="auto"/>
        <w:rPr>
          <w:b/>
          <w:bCs/>
          <w:szCs w:val="24"/>
        </w:rPr>
      </w:pPr>
    </w:p>
    <w:p w14:paraId="277922E1" w14:textId="606DD972" w:rsidR="003B73C8" w:rsidRPr="00041A32" w:rsidRDefault="003B73C8" w:rsidP="001230B4">
      <w:pPr>
        <w:ind w:left="720"/>
        <w:rPr>
          <w:sz w:val="24"/>
          <w:szCs w:val="24"/>
        </w:rPr>
      </w:pPr>
      <w:r w:rsidRPr="00041A32">
        <w:rPr>
          <w:b/>
          <w:sz w:val="24"/>
          <w:szCs w:val="24"/>
        </w:rPr>
        <w:t>Emergencies</w:t>
      </w:r>
    </w:p>
    <w:p w14:paraId="2A0D8B9B" w14:textId="290A9FB3" w:rsidR="005A3146" w:rsidRPr="00041A32" w:rsidRDefault="005A3146" w:rsidP="001230B4">
      <w:pPr>
        <w:pStyle w:val="ListParagraph"/>
        <w:numPr>
          <w:ilvl w:val="0"/>
          <w:numId w:val="44"/>
        </w:numPr>
        <w:ind w:left="1800"/>
        <w:rPr>
          <w:sz w:val="24"/>
          <w:szCs w:val="24"/>
        </w:rPr>
      </w:pPr>
      <w:r w:rsidRPr="00041A32">
        <w:rPr>
          <w:sz w:val="24"/>
          <w:szCs w:val="24"/>
        </w:rPr>
        <w:t xml:space="preserve">Up to </w:t>
      </w:r>
      <w:r w:rsidR="003B73C8" w:rsidRPr="00041A32">
        <w:rPr>
          <w:sz w:val="24"/>
          <w:szCs w:val="24"/>
        </w:rPr>
        <w:t xml:space="preserve">20 percent of the rehabilitation funds </w:t>
      </w:r>
      <w:r w:rsidRPr="00041A32">
        <w:rPr>
          <w:sz w:val="24"/>
          <w:szCs w:val="24"/>
        </w:rPr>
        <w:t>may be used in</w:t>
      </w:r>
      <w:r w:rsidR="003B73C8" w:rsidRPr="00041A32">
        <w:rPr>
          <w:sz w:val="24"/>
          <w:szCs w:val="24"/>
        </w:rPr>
        <w:t xml:space="preserve"> emergencies </w:t>
      </w:r>
    </w:p>
    <w:p w14:paraId="0B24CD74" w14:textId="66FE2763" w:rsidR="005A3146" w:rsidRPr="00041A32" w:rsidRDefault="005A3146" w:rsidP="001230B4">
      <w:pPr>
        <w:pStyle w:val="ListParagraph"/>
        <w:numPr>
          <w:ilvl w:val="0"/>
          <w:numId w:val="44"/>
        </w:numPr>
        <w:ind w:left="1800"/>
        <w:rPr>
          <w:sz w:val="24"/>
          <w:szCs w:val="24"/>
        </w:rPr>
      </w:pPr>
      <w:r w:rsidRPr="00041A32">
        <w:rPr>
          <w:sz w:val="24"/>
          <w:szCs w:val="24"/>
        </w:rPr>
        <w:t>T</w:t>
      </w:r>
      <w:r w:rsidR="003B73C8" w:rsidRPr="00041A32">
        <w:rPr>
          <w:sz w:val="24"/>
          <w:szCs w:val="24"/>
        </w:rPr>
        <w:t xml:space="preserve">he </w:t>
      </w:r>
      <w:r w:rsidR="00DE0C7C" w:rsidRPr="00041A32">
        <w:rPr>
          <w:sz w:val="24"/>
          <w:szCs w:val="24"/>
        </w:rPr>
        <w:t>property</w:t>
      </w:r>
      <w:r w:rsidR="003B73C8" w:rsidRPr="00041A32">
        <w:rPr>
          <w:sz w:val="24"/>
          <w:szCs w:val="24"/>
        </w:rPr>
        <w:t xml:space="preserve"> owner</w:t>
      </w:r>
      <w:r w:rsidR="00DE0C7C" w:rsidRPr="00041A32">
        <w:rPr>
          <w:sz w:val="24"/>
          <w:szCs w:val="24"/>
        </w:rPr>
        <w:t xml:space="preserve"> </w:t>
      </w:r>
      <w:r w:rsidR="003B73C8" w:rsidRPr="00041A32">
        <w:rPr>
          <w:sz w:val="24"/>
          <w:szCs w:val="24"/>
        </w:rPr>
        <w:t xml:space="preserve">must be </w:t>
      </w:r>
      <w:r w:rsidR="00DE0C7C" w:rsidRPr="00041A32">
        <w:rPr>
          <w:sz w:val="24"/>
          <w:szCs w:val="24"/>
        </w:rPr>
        <w:t>LMI</w:t>
      </w:r>
      <w:r w:rsidR="003B73C8" w:rsidRPr="00041A32">
        <w:rPr>
          <w:sz w:val="24"/>
          <w:szCs w:val="24"/>
        </w:rPr>
        <w:t xml:space="preserve">.  </w:t>
      </w:r>
    </w:p>
    <w:p w14:paraId="27BDBA0D" w14:textId="77CE1841" w:rsidR="005A3146" w:rsidRPr="00041A32" w:rsidRDefault="00DE0C7C" w:rsidP="001230B4">
      <w:pPr>
        <w:pStyle w:val="ListParagraph"/>
        <w:numPr>
          <w:ilvl w:val="0"/>
          <w:numId w:val="44"/>
        </w:numPr>
        <w:ind w:left="1800"/>
        <w:rPr>
          <w:sz w:val="24"/>
          <w:szCs w:val="24"/>
        </w:rPr>
      </w:pPr>
      <w:r w:rsidRPr="00041A32">
        <w:rPr>
          <w:sz w:val="24"/>
          <w:szCs w:val="24"/>
        </w:rPr>
        <w:lastRenderedPageBreak/>
        <w:t>Emergency funding is only eligible to</w:t>
      </w:r>
      <w:r w:rsidR="00FE074F" w:rsidRPr="00041A32">
        <w:rPr>
          <w:sz w:val="24"/>
          <w:szCs w:val="24"/>
        </w:rPr>
        <w:t xml:space="preserve"> </w:t>
      </w:r>
      <w:r w:rsidR="00F86FE3" w:rsidRPr="00041A32">
        <w:rPr>
          <w:sz w:val="24"/>
          <w:szCs w:val="24"/>
        </w:rPr>
        <w:t>owner</w:t>
      </w:r>
      <w:r w:rsidR="00FE074F" w:rsidRPr="00041A32">
        <w:rPr>
          <w:sz w:val="24"/>
          <w:szCs w:val="24"/>
        </w:rPr>
        <w:t>-occupied households</w:t>
      </w:r>
      <w:r w:rsidR="003B73C8" w:rsidRPr="00041A32">
        <w:rPr>
          <w:sz w:val="24"/>
          <w:szCs w:val="24"/>
        </w:rPr>
        <w:t xml:space="preserve"> </w:t>
      </w:r>
      <w:r w:rsidRPr="00041A32">
        <w:rPr>
          <w:sz w:val="24"/>
          <w:szCs w:val="24"/>
        </w:rPr>
        <w:t>not in the target area</w:t>
      </w:r>
      <w:r w:rsidR="003B73C8" w:rsidRPr="00041A32">
        <w:rPr>
          <w:sz w:val="24"/>
          <w:szCs w:val="24"/>
        </w:rPr>
        <w:t xml:space="preserve">.  </w:t>
      </w:r>
    </w:p>
    <w:p w14:paraId="500CDB2E" w14:textId="53E0ED7D" w:rsidR="007A3A5A" w:rsidRPr="00041A32" w:rsidRDefault="007A3A5A" w:rsidP="001230B4">
      <w:pPr>
        <w:pStyle w:val="ListParagraph"/>
        <w:numPr>
          <w:ilvl w:val="0"/>
          <w:numId w:val="44"/>
        </w:numPr>
        <w:ind w:left="1800"/>
        <w:rPr>
          <w:sz w:val="24"/>
          <w:szCs w:val="24"/>
        </w:rPr>
      </w:pPr>
      <w:r w:rsidRPr="00041A32">
        <w:rPr>
          <w:sz w:val="24"/>
          <w:szCs w:val="24"/>
        </w:rPr>
        <w:t xml:space="preserve">Emergencies are defined as water heaters and heating units.  A leaky roof is not defined as an emergency.  </w:t>
      </w:r>
    </w:p>
    <w:p w14:paraId="7703ABA0" w14:textId="77777777" w:rsidR="00FE074F" w:rsidRPr="00041A32" w:rsidRDefault="00FE074F" w:rsidP="00FE074F">
      <w:pPr>
        <w:ind w:left="1440"/>
        <w:rPr>
          <w:sz w:val="24"/>
          <w:szCs w:val="24"/>
        </w:rPr>
      </w:pPr>
    </w:p>
    <w:p w14:paraId="40FC59A9" w14:textId="09267024" w:rsidR="000663E8" w:rsidRPr="00041A32" w:rsidRDefault="003E7A55" w:rsidP="000663E8">
      <w:pPr>
        <w:pStyle w:val="BodyText2"/>
        <w:rPr>
          <w:b/>
          <w:bCs/>
          <w:szCs w:val="24"/>
        </w:rPr>
      </w:pPr>
      <w:r w:rsidRPr="00041A32">
        <w:rPr>
          <w:b/>
          <w:bCs/>
          <w:szCs w:val="24"/>
        </w:rPr>
        <w:t>Ineligible Activities</w:t>
      </w:r>
    </w:p>
    <w:p w14:paraId="3E05134D" w14:textId="12396C9A" w:rsidR="000663E8" w:rsidRPr="00041A32" w:rsidRDefault="000663E8" w:rsidP="003E7A55">
      <w:pPr>
        <w:pStyle w:val="BodyText"/>
        <w:numPr>
          <w:ilvl w:val="0"/>
          <w:numId w:val="44"/>
        </w:numPr>
        <w:jc w:val="left"/>
        <w:rPr>
          <w:szCs w:val="24"/>
        </w:rPr>
      </w:pPr>
      <w:r w:rsidRPr="00041A32">
        <w:rPr>
          <w:szCs w:val="24"/>
        </w:rPr>
        <w:t xml:space="preserve">Demolition of commercial or jurisdiction-owned properties </w:t>
      </w:r>
    </w:p>
    <w:p w14:paraId="63C23C6C" w14:textId="4A1CEB44" w:rsidR="000663E8" w:rsidRPr="00041A32" w:rsidRDefault="00FE074F" w:rsidP="005634DC">
      <w:pPr>
        <w:pStyle w:val="BodyText"/>
        <w:numPr>
          <w:ilvl w:val="0"/>
          <w:numId w:val="44"/>
        </w:numPr>
        <w:rPr>
          <w:szCs w:val="24"/>
        </w:rPr>
      </w:pPr>
      <w:r w:rsidRPr="00041A32">
        <w:rPr>
          <w:szCs w:val="24"/>
        </w:rPr>
        <w:t xml:space="preserve">Demolition-only </w:t>
      </w:r>
      <w:r w:rsidR="0037030D" w:rsidRPr="00041A32">
        <w:rPr>
          <w:szCs w:val="24"/>
        </w:rPr>
        <w:t>application</w:t>
      </w:r>
    </w:p>
    <w:p w14:paraId="726BE457" w14:textId="77777777" w:rsidR="0037030D" w:rsidRPr="00041A32" w:rsidRDefault="0037030D" w:rsidP="000663E8">
      <w:pPr>
        <w:rPr>
          <w:b/>
          <w:sz w:val="24"/>
          <w:szCs w:val="24"/>
        </w:rPr>
      </w:pPr>
    </w:p>
    <w:p w14:paraId="46FD6F2E" w14:textId="13010DB5" w:rsidR="000663E8" w:rsidRPr="00041A32" w:rsidRDefault="0089398D" w:rsidP="000663E8">
      <w:pPr>
        <w:jc w:val="both"/>
        <w:rPr>
          <w:sz w:val="24"/>
          <w:szCs w:val="24"/>
        </w:rPr>
      </w:pPr>
      <w:r w:rsidRPr="00041A32">
        <w:rPr>
          <w:sz w:val="24"/>
          <w:szCs w:val="24"/>
        </w:rPr>
        <w:t xml:space="preserve">For the FY </w:t>
      </w:r>
      <w:r w:rsidR="00997E05" w:rsidRPr="00041A32">
        <w:rPr>
          <w:sz w:val="24"/>
          <w:szCs w:val="24"/>
        </w:rPr>
        <w:t>2023</w:t>
      </w:r>
      <w:r w:rsidRPr="00041A32">
        <w:rPr>
          <w:sz w:val="24"/>
          <w:szCs w:val="24"/>
        </w:rPr>
        <w:t xml:space="preserve"> annual competition, the applicant has two options in making an application:  1) apply for housing </w:t>
      </w:r>
      <w:r w:rsidR="00FE074F" w:rsidRPr="00041A32">
        <w:rPr>
          <w:sz w:val="24"/>
          <w:szCs w:val="24"/>
        </w:rPr>
        <w:t xml:space="preserve">rehabilitation-only or rehabilitation and </w:t>
      </w:r>
      <w:r w:rsidRPr="00041A32">
        <w:rPr>
          <w:sz w:val="24"/>
          <w:szCs w:val="24"/>
        </w:rPr>
        <w:t xml:space="preserve">demolition funds, or 2) apply for a Neighborhood Development (ND) </w:t>
      </w:r>
      <w:r w:rsidR="00C9646A" w:rsidRPr="00041A32">
        <w:rPr>
          <w:sz w:val="24"/>
          <w:szCs w:val="24"/>
        </w:rPr>
        <w:t>that includes</w:t>
      </w:r>
      <w:r w:rsidRPr="00041A32">
        <w:rPr>
          <w:sz w:val="24"/>
          <w:szCs w:val="24"/>
        </w:rPr>
        <w:t xml:space="preserve"> housing rehabilitation</w:t>
      </w:r>
      <w:r w:rsidR="00C9646A" w:rsidRPr="00041A32">
        <w:rPr>
          <w:sz w:val="24"/>
          <w:szCs w:val="24"/>
        </w:rPr>
        <w:t xml:space="preserve"> and/or d</w:t>
      </w:r>
      <w:r w:rsidRPr="00041A32">
        <w:rPr>
          <w:sz w:val="24"/>
          <w:szCs w:val="24"/>
        </w:rPr>
        <w:t>emolition,</w:t>
      </w:r>
      <w:r w:rsidR="00C9646A" w:rsidRPr="00041A32">
        <w:rPr>
          <w:sz w:val="24"/>
          <w:szCs w:val="24"/>
        </w:rPr>
        <w:t xml:space="preserve"> plus infrastructure</w:t>
      </w:r>
      <w:r w:rsidRPr="00041A32">
        <w:rPr>
          <w:sz w:val="24"/>
          <w:szCs w:val="24"/>
        </w:rPr>
        <w:t>.</w:t>
      </w:r>
      <w:r w:rsidR="009A13BE" w:rsidRPr="00041A32">
        <w:rPr>
          <w:sz w:val="24"/>
          <w:szCs w:val="24"/>
        </w:rPr>
        <w:t xml:space="preserve">  </w:t>
      </w:r>
      <w:r w:rsidR="00C9646A" w:rsidRPr="00041A32">
        <w:rPr>
          <w:sz w:val="24"/>
          <w:szCs w:val="24"/>
        </w:rPr>
        <w:t xml:space="preserve">All applications must be in a target area and if an ND project there will need to be a target area LMI survey. </w:t>
      </w:r>
      <w:r w:rsidRPr="00041A32">
        <w:rPr>
          <w:sz w:val="24"/>
          <w:szCs w:val="24"/>
        </w:rPr>
        <w:t xml:space="preserve"> </w:t>
      </w:r>
    </w:p>
    <w:p w14:paraId="5B534DEF" w14:textId="77777777" w:rsidR="00F46988" w:rsidRPr="00041A32" w:rsidRDefault="00F46988" w:rsidP="00F46988">
      <w:pPr>
        <w:pStyle w:val="BodyText"/>
        <w:spacing w:before="1"/>
        <w:rPr>
          <w:szCs w:val="24"/>
        </w:rPr>
      </w:pPr>
    </w:p>
    <w:p w14:paraId="25E1A89C" w14:textId="004C3560" w:rsidR="00F46988" w:rsidRPr="00041A32" w:rsidRDefault="00F46988" w:rsidP="00F46988">
      <w:pPr>
        <w:pStyle w:val="BodyText"/>
        <w:shd w:val="clear" w:color="auto" w:fill="002060"/>
        <w:spacing w:before="1"/>
        <w:rPr>
          <w:b/>
          <w:bCs/>
          <w:color w:val="FFFFFF" w:themeColor="background1"/>
          <w:szCs w:val="24"/>
        </w:rPr>
      </w:pPr>
      <w:r w:rsidRPr="00041A32">
        <w:rPr>
          <w:b/>
          <w:bCs/>
          <w:color w:val="FFFFFF" w:themeColor="background1"/>
          <w:szCs w:val="24"/>
        </w:rPr>
        <w:t>Available Funding</w:t>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r>
      <w:r w:rsidR="00C9646A" w:rsidRPr="00041A32">
        <w:rPr>
          <w:b/>
          <w:bCs/>
          <w:color w:val="FFFFFF" w:themeColor="background1"/>
          <w:szCs w:val="24"/>
        </w:rPr>
        <w:tab/>
        <w:t>Maximums</w:t>
      </w:r>
    </w:p>
    <w:tbl>
      <w:tblPr>
        <w:tblStyle w:val="TableGrid"/>
        <w:tblW w:w="9985" w:type="dxa"/>
        <w:tblLook w:val="04A0" w:firstRow="1" w:lastRow="0" w:firstColumn="1" w:lastColumn="0" w:noHBand="0" w:noVBand="1"/>
      </w:tblPr>
      <w:tblGrid>
        <w:gridCol w:w="7375"/>
        <w:gridCol w:w="2610"/>
      </w:tblGrid>
      <w:tr w:rsidR="00F46988" w:rsidRPr="00041A32" w14:paraId="123CEB4E" w14:textId="77777777" w:rsidTr="006A6C90">
        <w:tc>
          <w:tcPr>
            <w:tcW w:w="7375" w:type="dxa"/>
          </w:tcPr>
          <w:p w14:paraId="5D0E39E5" w14:textId="11F8F2DF" w:rsidR="00F46988" w:rsidRPr="00041A32" w:rsidRDefault="00F46988" w:rsidP="00917D78">
            <w:pPr>
              <w:pStyle w:val="BodyText"/>
              <w:spacing w:before="1"/>
              <w:rPr>
                <w:szCs w:val="24"/>
              </w:rPr>
            </w:pPr>
            <w:r w:rsidRPr="00041A32">
              <w:rPr>
                <w:szCs w:val="24"/>
              </w:rPr>
              <w:t>Housing Rehabilitation</w:t>
            </w:r>
            <w:r w:rsidR="00C9646A" w:rsidRPr="00041A32">
              <w:rPr>
                <w:szCs w:val="24"/>
              </w:rPr>
              <w:t xml:space="preserve"> and/or </w:t>
            </w:r>
            <w:r w:rsidRPr="00041A32">
              <w:rPr>
                <w:szCs w:val="24"/>
              </w:rPr>
              <w:t>Demolition</w:t>
            </w:r>
          </w:p>
        </w:tc>
        <w:tc>
          <w:tcPr>
            <w:tcW w:w="2610" w:type="dxa"/>
          </w:tcPr>
          <w:p w14:paraId="05CFDC23" w14:textId="762C6AE1" w:rsidR="00F46988" w:rsidRPr="00041A32" w:rsidRDefault="00F46988" w:rsidP="00917D78">
            <w:pPr>
              <w:pStyle w:val="BodyText"/>
              <w:spacing w:before="1"/>
              <w:rPr>
                <w:szCs w:val="24"/>
              </w:rPr>
            </w:pPr>
            <w:r w:rsidRPr="00041A32">
              <w:rPr>
                <w:szCs w:val="24"/>
              </w:rPr>
              <w:t>$300,000</w:t>
            </w:r>
          </w:p>
        </w:tc>
      </w:tr>
      <w:tr w:rsidR="00F46988" w:rsidRPr="00041A32" w14:paraId="6E81AE0A" w14:textId="77777777" w:rsidTr="006A6C90">
        <w:tc>
          <w:tcPr>
            <w:tcW w:w="7375" w:type="dxa"/>
          </w:tcPr>
          <w:p w14:paraId="461BD8D7" w14:textId="5C4D9EAE" w:rsidR="00C9646A" w:rsidRPr="00041A32" w:rsidRDefault="00F46988" w:rsidP="00917D78">
            <w:pPr>
              <w:pStyle w:val="BodyText"/>
              <w:spacing w:before="1"/>
              <w:rPr>
                <w:szCs w:val="24"/>
              </w:rPr>
            </w:pPr>
            <w:r w:rsidRPr="00041A32">
              <w:rPr>
                <w:szCs w:val="24"/>
              </w:rPr>
              <w:t>Housing Neighborhood Development</w:t>
            </w:r>
            <w:r w:rsidR="00C9646A" w:rsidRPr="00041A32">
              <w:rPr>
                <w:szCs w:val="24"/>
              </w:rPr>
              <w:t xml:space="preserve"> $300,000 for housing and $200,000 for infrastructure (City must match infrastructure 50/50)</w:t>
            </w:r>
          </w:p>
        </w:tc>
        <w:tc>
          <w:tcPr>
            <w:tcW w:w="2610" w:type="dxa"/>
          </w:tcPr>
          <w:p w14:paraId="355A9137" w14:textId="30DA4BCF" w:rsidR="00F46988" w:rsidRPr="00041A32" w:rsidRDefault="00F46988" w:rsidP="00917D78">
            <w:pPr>
              <w:pStyle w:val="BodyText"/>
              <w:spacing w:before="1"/>
              <w:rPr>
                <w:szCs w:val="24"/>
              </w:rPr>
            </w:pPr>
            <w:r w:rsidRPr="00041A32">
              <w:rPr>
                <w:szCs w:val="24"/>
              </w:rPr>
              <w:t>$500,000</w:t>
            </w:r>
          </w:p>
        </w:tc>
      </w:tr>
    </w:tbl>
    <w:p w14:paraId="5E43436B" w14:textId="458E9B7D" w:rsidR="009A13BE" w:rsidRPr="00041A32" w:rsidRDefault="009A13BE" w:rsidP="00F46988">
      <w:pPr>
        <w:rPr>
          <w:b/>
          <w:bCs/>
          <w:sz w:val="24"/>
          <w:szCs w:val="24"/>
        </w:rPr>
      </w:pPr>
    </w:p>
    <w:p w14:paraId="68C61246" w14:textId="77777777" w:rsidR="009A13BE" w:rsidRPr="00041A32" w:rsidRDefault="009A13BE" w:rsidP="00F46988">
      <w:pPr>
        <w:rPr>
          <w:b/>
          <w:bCs/>
          <w:sz w:val="24"/>
          <w:szCs w:val="24"/>
        </w:rPr>
      </w:pPr>
    </w:p>
    <w:p w14:paraId="3F08A1C2" w14:textId="07209F4D" w:rsidR="0089398D" w:rsidRPr="00041A32" w:rsidRDefault="006A38D0" w:rsidP="006A38D0">
      <w:pPr>
        <w:pStyle w:val="BodyText"/>
        <w:shd w:val="clear" w:color="auto" w:fill="002060"/>
        <w:spacing w:before="1"/>
        <w:rPr>
          <w:b/>
          <w:bCs/>
          <w:color w:val="FFFFFF" w:themeColor="background1"/>
          <w:szCs w:val="24"/>
        </w:rPr>
      </w:pPr>
      <w:r w:rsidRPr="00041A32">
        <w:rPr>
          <w:b/>
          <w:bCs/>
          <w:color w:val="FFFFFF" w:themeColor="background1"/>
          <w:szCs w:val="24"/>
        </w:rPr>
        <w:t>Activit</w:t>
      </w:r>
      <w:r w:rsidR="00C9646A" w:rsidRPr="00041A32">
        <w:rPr>
          <w:b/>
          <w:bCs/>
          <w:color w:val="FFFFFF" w:themeColor="background1"/>
          <w:szCs w:val="24"/>
        </w:rPr>
        <w:t>ies included</w:t>
      </w:r>
      <w:r w:rsidR="009A13BE" w:rsidRPr="00041A32">
        <w:rPr>
          <w:b/>
          <w:bCs/>
          <w:color w:val="FFFFFF" w:themeColor="background1"/>
          <w:szCs w:val="24"/>
        </w:rPr>
        <w:tab/>
      </w:r>
      <w:r w:rsidR="009A13BE"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Pr="00041A32">
        <w:rPr>
          <w:b/>
          <w:bCs/>
          <w:color w:val="FFFFFF" w:themeColor="background1"/>
          <w:szCs w:val="24"/>
        </w:rPr>
        <w:tab/>
      </w:r>
      <w:r w:rsidR="0089398D" w:rsidRPr="00041A32">
        <w:rPr>
          <w:b/>
          <w:bCs/>
          <w:color w:val="FFFFFF" w:themeColor="background1"/>
          <w:szCs w:val="24"/>
        </w:rPr>
        <w:t>Maximums</w:t>
      </w:r>
    </w:p>
    <w:tbl>
      <w:tblPr>
        <w:tblStyle w:val="TableGrid"/>
        <w:tblW w:w="0" w:type="auto"/>
        <w:tblLook w:val="04A0" w:firstRow="1" w:lastRow="0" w:firstColumn="1" w:lastColumn="0" w:noHBand="0" w:noVBand="1"/>
      </w:tblPr>
      <w:tblGrid>
        <w:gridCol w:w="7375"/>
        <w:gridCol w:w="2520"/>
        <w:gridCol w:w="31"/>
      </w:tblGrid>
      <w:tr w:rsidR="0089398D" w:rsidRPr="00041A32" w14:paraId="27ECCAAE" w14:textId="77777777" w:rsidTr="006A6C90">
        <w:trPr>
          <w:trHeight w:val="611"/>
        </w:trPr>
        <w:tc>
          <w:tcPr>
            <w:tcW w:w="7375" w:type="dxa"/>
          </w:tcPr>
          <w:p w14:paraId="64CCDAD5" w14:textId="26F6AFD3" w:rsidR="0089398D" w:rsidRPr="00041A32" w:rsidRDefault="0089398D" w:rsidP="003E7A55">
            <w:pPr>
              <w:ind w:right="-144"/>
              <w:rPr>
                <w:sz w:val="24"/>
                <w:szCs w:val="24"/>
              </w:rPr>
            </w:pPr>
            <w:r w:rsidRPr="00041A32">
              <w:rPr>
                <w:sz w:val="24"/>
                <w:szCs w:val="24"/>
              </w:rPr>
              <w:t xml:space="preserve">Housing and Radon Inspection (includes all  site inspections, work write-ups, cost estimates, and radon </w:t>
            </w:r>
            <w:r w:rsidR="009A13BE" w:rsidRPr="00041A32">
              <w:rPr>
                <w:sz w:val="24"/>
                <w:szCs w:val="24"/>
              </w:rPr>
              <w:t>testing</w:t>
            </w:r>
            <w:r w:rsidRPr="00041A32">
              <w:rPr>
                <w:sz w:val="24"/>
                <w:szCs w:val="24"/>
              </w:rPr>
              <w:t xml:space="preserve">)                                            </w:t>
            </w:r>
          </w:p>
        </w:tc>
        <w:tc>
          <w:tcPr>
            <w:tcW w:w="2551" w:type="dxa"/>
            <w:gridSpan w:val="2"/>
          </w:tcPr>
          <w:p w14:paraId="21F3FAE4" w14:textId="5D46A4C6" w:rsidR="0089398D" w:rsidRPr="00041A32" w:rsidRDefault="0089398D" w:rsidP="003E7A55">
            <w:pPr>
              <w:ind w:right="-144"/>
              <w:rPr>
                <w:sz w:val="24"/>
                <w:szCs w:val="24"/>
              </w:rPr>
            </w:pPr>
            <w:r w:rsidRPr="00041A32">
              <w:rPr>
                <w:sz w:val="24"/>
                <w:szCs w:val="24"/>
              </w:rPr>
              <w:t>$1,000</w:t>
            </w:r>
          </w:p>
        </w:tc>
      </w:tr>
      <w:tr w:rsidR="0089398D" w:rsidRPr="00041A32" w14:paraId="08C1E480" w14:textId="77777777" w:rsidTr="006A6C90">
        <w:tc>
          <w:tcPr>
            <w:tcW w:w="7375" w:type="dxa"/>
          </w:tcPr>
          <w:p w14:paraId="4228447C" w14:textId="6CE023DD" w:rsidR="0089398D" w:rsidRPr="00041A32" w:rsidRDefault="001230B4" w:rsidP="003E7A55">
            <w:pPr>
              <w:ind w:right="-144"/>
              <w:rPr>
                <w:sz w:val="24"/>
                <w:szCs w:val="24"/>
              </w:rPr>
            </w:pPr>
            <w:r w:rsidRPr="00041A32">
              <w:rPr>
                <w:sz w:val="24"/>
                <w:szCs w:val="24"/>
              </w:rPr>
              <w:t>Risk Assessments</w:t>
            </w:r>
          </w:p>
        </w:tc>
        <w:tc>
          <w:tcPr>
            <w:tcW w:w="2551" w:type="dxa"/>
            <w:gridSpan w:val="2"/>
          </w:tcPr>
          <w:p w14:paraId="1DD829A2" w14:textId="71E1933A" w:rsidR="0089398D" w:rsidRPr="00041A32" w:rsidRDefault="001230B4" w:rsidP="003E7A55">
            <w:pPr>
              <w:ind w:right="-144"/>
              <w:rPr>
                <w:sz w:val="24"/>
                <w:szCs w:val="24"/>
              </w:rPr>
            </w:pPr>
            <w:r w:rsidRPr="00041A32">
              <w:rPr>
                <w:sz w:val="24"/>
                <w:szCs w:val="24"/>
              </w:rPr>
              <w:t>$1,000</w:t>
            </w:r>
          </w:p>
        </w:tc>
      </w:tr>
      <w:tr w:rsidR="0089398D" w:rsidRPr="00041A32" w14:paraId="5E3DD63B" w14:textId="77777777" w:rsidTr="006A6C90">
        <w:tc>
          <w:tcPr>
            <w:tcW w:w="7375" w:type="dxa"/>
          </w:tcPr>
          <w:p w14:paraId="1167C244" w14:textId="298C64C9" w:rsidR="0089398D" w:rsidRPr="00041A32" w:rsidRDefault="001230B4" w:rsidP="003E7A55">
            <w:pPr>
              <w:ind w:right="-144"/>
              <w:rPr>
                <w:sz w:val="24"/>
                <w:szCs w:val="24"/>
              </w:rPr>
            </w:pPr>
            <w:r w:rsidRPr="00041A32">
              <w:rPr>
                <w:sz w:val="24"/>
                <w:szCs w:val="24"/>
              </w:rPr>
              <w:t>Lead Base Paint (LBP) Clearance</w:t>
            </w:r>
          </w:p>
        </w:tc>
        <w:tc>
          <w:tcPr>
            <w:tcW w:w="2551" w:type="dxa"/>
            <w:gridSpan w:val="2"/>
          </w:tcPr>
          <w:p w14:paraId="54947448" w14:textId="0D7C7B9A" w:rsidR="0089398D" w:rsidRPr="00041A32" w:rsidRDefault="001230B4" w:rsidP="003E7A55">
            <w:pPr>
              <w:ind w:right="-144"/>
              <w:rPr>
                <w:sz w:val="24"/>
                <w:szCs w:val="24"/>
              </w:rPr>
            </w:pPr>
            <w:r w:rsidRPr="00041A32">
              <w:rPr>
                <w:sz w:val="24"/>
                <w:szCs w:val="24"/>
              </w:rPr>
              <w:t>$   300</w:t>
            </w:r>
          </w:p>
        </w:tc>
      </w:tr>
      <w:tr w:rsidR="0089398D" w:rsidRPr="00041A32" w14:paraId="2F71E21C" w14:textId="77777777" w:rsidTr="006A6C90">
        <w:tc>
          <w:tcPr>
            <w:tcW w:w="7375" w:type="dxa"/>
          </w:tcPr>
          <w:p w14:paraId="05507ABE" w14:textId="7DD38E20" w:rsidR="0089398D" w:rsidRPr="00041A32" w:rsidRDefault="001230B4" w:rsidP="003E7A55">
            <w:pPr>
              <w:ind w:right="-144"/>
              <w:rPr>
                <w:sz w:val="24"/>
                <w:szCs w:val="24"/>
              </w:rPr>
            </w:pPr>
            <w:r w:rsidRPr="00041A32">
              <w:rPr>
                <w:sz w:val="24"/>
                <w:szCs w:val="24"/>
              </w:rPr>
              <w:t>LBP safe work practice &amp; Cleaning for Clearance</w:t>
            </w:r>
          </w:p>
        </w:tc>
        <w:tc>
          <w:tcPr>
            <w:tcW w:w="2551" w:type="dxa"/>
            <w:gridSpan w:val="2"/>
          </w:tcPr>
          <w:p w14:paraId="7B816E50" w14:textId="69167F35" w:rsidR="0089398D" w:rsidRPr="00041A32" w:rsidRDefault="001230B4" w:rsidP="003E7A55">
            <w:pPr>
              <w:ind w:right="-144"/>
              <w:rPr>
                <w:sz w:val="24"/>
                <w:szCs w:val="24"/>
              </w:rPr>
            </w:pPr>
            <w:r w:rsidRPr="00041A32">
              <w:rPr>
                <w:sz w:val="24"/>
                <w:szCs w:val="24"/>
              </w:rPr>
              <w:t xml:space="preserve">10% of CDBG Rehabilitation </w:t>
            </w:r>
            <w:r w:rsidR="009A13BE" w:rsidRPr="00041A32">
              <w:rPr>
                <w:sz w:val="24"/>
                <w:szCs w:val="24"/>
              </w:rPr>
              <w:t>per house</w:t>
            </w:r>
          </w:p>
        </w:tc>
      </w:tr>
      <w:tr w:rsidR="0089398D" w:rsidRPr="00041A32" w14:paraId="63C93146" w14:textId="77777777" w:rsidTr="006A6C90">
        <w:tc>
          <w:tcPr>
            <w:tcW w:w="7375" w:type="dxa"/>
          </w:tcPr>
          <w:p w14:paraId="3EFC0724" w14:textId="7713FC84" w:rsidR="0089398D" w:rsidRPr="00041A32" w:rsidRDefault="001230B4" w:rsidP="003E7A55">
            <w:pPr>
              <w:ind w:right="-144"/>
              <w:rPr>
                <w:sz w:val="24"/>
                <w:szCs w:val="24"/>
              </w:rPr>
            </w:pPr>
            <w:r w:rsidRPr="00041A32">
              <w:rPr>
                <w:sz w:val="24"/>
                <w:szCs w:val="24"/>
              </w:rPr>
              <w:t xml:space="preserve">Temporary Relocation due to LBP </w:t>
            </w:r>
          </w:p>
        </w:tc>
        <w:tc>
          <w:tcPr>
            <w:tcW w:w="2551" w:type="dxa"/>
            <w:gridSpan w:val="2"/>
          </w:tcPr>
          <w:p w14:paraId="65AAC80B" w14:textId="3D67B627" w:rsidR="0089398D" w:rsidRPr="00041A32" w:rsidRDefault="001230B4" w:rsidP="003E7A55">
            <w:pPr>
              <w:ind w:right="-144"/>
              <w:rPr>
                <w:sz w:val="24"/>
                <w:szCs w:val="24"/>
              </w:rPr>
            </w:pPr>
            <w:r w:rsidRPr="00041A32">
              <w:rPr>
                <w:sz w:val="24"/>
                <w:szCs w:val="24"/>
              </w:rPr>
              <w:t>$5,000</w:t>
            </w:r>
          </w:p>
        </w:tc>
      </w:tr>
      <w:tr w:rsidR="0089398D" w:rsidRPr="00041A32" w14:paraId="6D2BAC53" w14:textId="77777777" w:rsidTr="006A6C90">
        <w:tc>
          <w:tcPr>
            <w:tcW w:w="7375" w:type="dxa"/>
          </w:tcPr>
          <w:p w14:paraId="38743E1F" w14:textId="282304E1" w:rsidR="0089398D" w:rsidRPr="00041A32" w:rsidRDefault="001230B4" w:rsidP="003E7A55">
            <w:pPr>
              <w:ind w:right="-144"/>
              <w:rPr>
                <w:sz w:val="24"/>
                <w:szCs w:val="24"/>
              </w:rPr>
            </w:pPr>
            <w:r w:rsidRPr="00041A32">
              <w:rPr>
                <w:sz w:val="24"/>
                <w:szCs w:val="24"/>
              </w:rPr>
              <w:t>Demolition Inspections</w:t>
            </w:r>
          </w:p>
        </w:tc>
        <w:tc>
          <w:tcPr>
            <w:tcW w:w="2551" w:type="dxa"/>
            <w:gridSpan w:val="2"/>
          </w:tcPr>
          <w:p w14:paraId="5E7FF01F" w14:textId="1931C57E" w:rsidR="0089398D" w:rsidRPr="00041A32" w:rsidRDefault="001230B4" w:rsidP="003E7A55">
            <w:pPr>
              <w:ind w:right="-144"/>
              <w:rPr>
                <w:sz w:val="24"/>
                <w:szCs w:val="24"/>
              </w:rPr>
            </w:pPr>
            <w:r w:rsidRPr="00041A32">
              <w:rPr>
                <w:sz w:val="24"/>
                <w:szCs w:val="24"/>
              </w:rPr>
              <w:t>$   500</w:t>
            </w:r>
          </w:p>
        </w:tc>
      </w:tr>
      <w:tr w:rsidR="0089398D" w:rsidRPr="00041A32" w14:paraId="407F5370" w14:textId="77777777" w:rsidTr="006A6C90">
        <w:tc>
          <w:tcPr>
            <w:tcW w:w="7375" w:type="dxa"/>
          </w:tcPr>
          <w:p w14:paraId="2DB9022A" w14:textId="275E3DBF" w:rsidR="0089398D" w:rsidRPr="00041A32" w:rsidRDefault="001230B4" w:rsidP="003E7A55">
            <w:pPr>
              <w:ind w:right="-144"/>
              <w:rPr>
                <w:sz w:val="24"/>
                <w:szCs w:val="24"/>
              </w:rPr>
            </w:pPr>
            <w:r w:rsidRPr="00041A32">
              <w:rPr>
                <w:sz w:val="24"/>
                <w:szCs w:val="24"/>
              </w:rPr>
              <w:t xml:space="preserve">Demolition </w:t>
            </w:r>
          </w:p>
        </w:tc>
        <w:tc>
          <w:tcPr>
            <w:tcW w:w="2551" w:type="dxa"/>
            <w:gridSpan w:val="2"/>
          </w:tcPr>
          <w:p w14:paraId="2D94CCBE" w14:textId="65F9E2FF" w:rsidR="0089398D" w:rsidRPr="00041A32" w:rsidRDefault="001230B4" w:rsidP="003E7A55">
            <w:pPr>
              <w:ind w:right="-144"/>
              <w:rPr>
                <w:sz w:val="24"/>
                <w:szCs w:val="24"/>
              </w:rPr>
            </w:pPr>
            <w:r w:rsidRPr="00041A32">
              <w:rPr>
                <w:sz w:val="24"/>
                <w:szCs w:val="24"/>
              </w:rPr>
              <w:t xml:space="preserve">Must be reasonable </w:t>
            </w:r>
          </w:p>
        </w:tc>
      </w:tr>
      <w:tr w:rsidR="00C9646A" w:rsidRPr="00041A32" w14:paraId="118E5643" w14:textId="77777777" w:rsidTr="009A13BE">
        <w:trPr>
          <w:gridAfter w:val="1"/>
          <w:wAfter w:w="31" w:type="dxa"/>
        </w:trPr>
        <w:tc>
          <w:tcPr>
            <w:tcW w:w="7375" w:type="dxa"/>
          </w:tcPr>
          <w:p w14:paraId="181E94C0" w14:textId="32023C6D" w:rsidR="00C9646A" w:rsidRPr="00041A32" w:rsidRDefault="00C9646A" w:rsidP="000663E8">
            <w:pPr>
              <w:pStyle w:val="BodyText"/>
              <w:spacing w:before="6"/>
              <w:rPr>
                <w:szCs w:val="24"/>
              </w:rPr>
            </w:pPr>
            <w:r w:rsidRPr="00041A32">
              <w:rPr>
                <w:szCs w:val="24"/>
              </w:rPr>
              <w:t xml:space="preserve">Administration </w:t>
            </w:r>
          </w:p>
        </w:tc>
        <w:tc>
          <w:tcPr>
            <w:tcW w:w="2520" w:type="dxa"/>
          </w:tcPr>
          <w:p w14:paraId="683D4509" w14:textId="6CBDBD7E" w:rsidR="00C9646A" w:rsidRPr="00041A32" w:rsidRDefault="00C9646A" w:rsidP="000663E8">
            <w:pPr>
              <w:pStyle w:val="BodyText"/>
              <w:spacing w:before="6"/>
              <w:rPr>
                <w:szCs w:val="24"/>
              </w:rPr>
            </w:pPr>
            <w:r w:rsidRPr="00041A32">
              <w:rPr>
                <w:szCs w:val="24"/>
              </w:rPr>
              <w:t>Up to  $30,000</w:t>
            </w:r>
          </w:p>
        </w:tc>
      </w:tr>
      <w:tr w:rsidR="00C9646A" w:rsidRPr="00041A32" w14:paraId="69A3BACB" w14:textId="77777777" w:rsidTr="009A13BE">
        <w:trPr>
          <w:gridAfter w:val="1"/>
          <w:wAfter w:w="31" w:type="dxa"/>
        </w:trPr>
        <w:tc>
          <w:tcPr>
            <w:tcW w:w="7375" w:type="dxa"/>
          </w:tcPr>
          <w:p w14:paraId="1C901080" w14:textId="3729CD28" w:rsidR="00C9646A" w:rsidRPr="00041A32" w:rsidRDefault="009A13BE" w:rsidP="000663E8">
            <w:pPr>
              <w:pStyle w:val="BodyText"/>
              <w:spacing w:before="6"/>
              <w:rPr>
                <w:szCs w:val="24"/>
              </w:rPr>
            </w:pPr>
            <w:r w:rsidRPr="00041A32">
              <w:rPr>
                <w:szCs w:val="24"/>
              </w:rPr>
              <w:t>Matching funds</w:t>
            </w:r>
          </w:p>
        </w:tc>
        <w:tc>
          <w:tcPr>
            <w:tcW w:w="2520" w:type="dxa"/>
          </w:tcPr>
          <w:p w14:paraId="5DD5AEE7" w14:textId="46A5FBF5" w:rsidR="00C9646A" w:rsidRPr="00041A32" w:rsidRDefault="009A13BE" w:rsidP="000663E8">
            <w:pPr>
              <w:pStyle w:val="BodyText"/>
              <w:spacing w:before="6"/>
              <w:rPr>
                <w:szCs w:val="24"/>
              </w:rPr>
            </w:pPr>
            <w:r w:rsidRPr="00041A32">
              <w:rPr>
                <w:szCs w:val="24"/>
              </w:rPr>
              <w:t>Environmental Review</w:t>
            </w:r>
          </w:p>
        </w:tc>
      </w:tr>
    </w:tbl>
    <w:p w14:paraId="466452AC" w14:textId="3C2A151D" w:rsidR="000663E8" w:rsidRPr="00041A32" w:rsidRDefault="009A13BE" w:rsidP="000663E8">
      <w:pPr>
        <w:pStyle w:val="BodyText"/>
        <w:spacing w:before="6"/>
        <w:rPr>
          <w:b/>
          <w:bCs/>
          <w:szCs w:val="24"/>
        </w:rPr>
      </w:pPr>
      <w:r w:rsidRPr="00041A32">
        <w:rPr>
          <w:b/>
          <w:bCs/>
          <w:szCs w:val="24"/>
        </w:rPr>
        <w:t xml:space="preserve">Note:  All activity fees are </w:t>
      </w:r>
      <w:r w:rsidR="00FE5824" w:rsidRPr="00041A32">
        <w:rPr>
          <w:b/>
          <w:bCs/>
          <w:szCs w:val="24"/>
        </w:rPr>
        <w:t>included in</w:t>
      </w:r>
      <w:r w:rsidRPr="00041A32">
        <w:rPr>
          <w:b/>
          <w:bCs/>
          <w:szCs w:val="24"/>
        </w:rPr>
        <w:t xml:space="preserve"> the maximum grant funding. </w:t>
      </w:r>
    </w:p>
    <w:p w14:paraId="68FE8B70" w14:textId="77777777" w:rsidR="009A13BE" w:rsidRPr="00041A32" w:rsidRDefault="009A13BE" w:rsidP="000663E8">
      <w:pPr>
        <w:pStyle w:val="BodyText"/>
        <w:spacing w:before="6"/>
        <w:rPr>
          <w:szCs w:val="24"/>
        </w:rPr>
      </w:pPr>
    </w:p>
    <w:p w14:paraId="06E93C8B" w14:textId="650D257B" w:rsidR="0037030D" w:rsidRPr="00041A32" w:rsidRDefault="00F46988" w:rsidP="00F46988">
      <w:pPr>
        <w:pStyle w:val="BodyText"/>
        <w:spacing w:before="6"/>
        <w:rPr>
          <w:szCs w:val="24"/>
        </w:rPr>
      </w:pPr>
      <w:r w:rsidRPr="00041A32">
        <w:rPr>
          <w:b/>
          <w:bCs/>
          <w:szCs w:val="24"/>
        </w:rPr>
        <w:t xml:space="preserve">Application Criteria: </w:t>
      </w:r>
      <w:r w:rsidRPr="00041A32">
        <w:rPr>
          <w:szCs w:val="24"/>
        </w:rPr>
        <w:t xml:space="preserve">The Matrix below describes each selection criteria as a numerical score within the </w:t>
      </w:r>
      <w:r w:rsidR="007A3A5A" w:rsidRPr="00041A32">
        <w:rPr>
          <w:szCs w:val="24"/>
        </w:rPr>
        <w:t>Housing</w:t>
      </w:r>
      <w:r w:rsidRPr="00041A32">
        <w:rPr>
          <w:szCs w:val="24"/>
        </w:rPr>
        <w:t xml:space="preserve"> Application</w:t>
      </w:r>
      <w:r w:rsidR="009A13BE" w:rsidRPr="00041A32">
        <w:rPr>
          <w:szCs w:val="24"/>
        </w:rPr>
        <w:t>s</w:t>
      </w:r>
      <w:r w:rsidRPr="00041A32">
        <w:rPr>
          <w:szCs w:val="24"/>
        </w:rPr>
        <w:t xml:space="preserve">.  The maximum number of points </w:t>
      </w:r>
      <w:r w:rsidR="00CB4120" w:rsidRPr="00041A32">
        <w:rPr>
          <w:szCs w:val="24"/>
        </w:rPr>
        <w:t>for housing i</w:t>
      </w:r>
      <w:r w:rsidRPr="00041A32">
        <w:rPr>
          <w:szCs w:val="24"/>
        </w:rPr>
        <w:t>s 1</w:t>
      </w:r>
      <w:r w:rsidR="009A13BE" w:rsidRPr="00041A32">
        <w:rPr>
          <w:szCs w:val="24"/>
        </w:rPr>
        <w:t>25</w:t>
      </w:r>
      <w:r w:rsidRPr="00041A32">
        <w:rPr>
          <w:szCs w:val="24"/>
        </w:rPr>
        <w:t xml:space="preserve"> points</w:t>
      </w:r>
      <w:r w:rsidR="00CB4120" w:rsidRPr="00041A32">
        <w:rPr>
          <w:szCs w:val="24"/>
        </w:rPr>
        <w:t xml:space="preserve"> and 15</w:t>
      </w:r>
      <w:r w:rsidR="009A13BE" w:rsidRPr="00041A32">
        <w:rPr>
          <w:szCs w:val="24"/>
        </w:rPr>
        <w:t>0</w:t>
      </w:r>
      <w:r w:rsidR="00CB4120" w:rsidRPr="00041A32">
        <w:rPr>
          <w:szCs w:val="24"/>
        </w:rPr>
        <w:t xml:space="preserve"> points for ND</w:t>
      </w:r>
      <w:r w:rsidRPr="00041A32">
        <w:rPr>
          <w:szCs w:val="24"/>
        </w:rPr>
        <w:t xml:space="preserve">. </w:t>
      </w:r>
    </w:p>
    <w:p w14:paraId="18973FDA" w14:textId="77777777" w:rsidR="007A3A5A" w:rsidRPr="00041A32" w:rsidRDefault="007A3A5A" w:rsidP="00F46988">
      <w:pPr>
        <w:pStyle w:val="BodyText"/>
        <w:spacing w:before="6"/>
        <w:rPr>
          <w:szCs w:val="24"/>
        </w:rPr>
      </w:pPr>
    </w:p>
    <w:p w14:paraId="4A1DA57B" w14:textId="77777777" w:rsidR="00F46988" w:rsidRPr="00041A32" w:rsidRDefault="00F46988" w:rsidP="00F46988">
      <w:pPr>
        <w:pStyle w:val="BodyText"/>
        <w:ind w:left="125"/>
        <w:rPr>
          <w:szCs w:val="24"/>
        </w:rPr>
      </w:pPr>
      <w:r w:rsidRPr="00041A32">
        <w:rPr>
          <w:noProof/>
          <w:szCs w:val="24"/>
        </w:rPr>
        <mc:AlternateContent>
          <mc:Choice Requires="wps">
            <w:drawing>
              <wp:inline distT="0" distB="0" distL="0" distR="0" wp14:anchorId="7A19409A" wp14:editId="730655A3">
                <wp:extent cx="6213230" cy="184785"/>
                <wp:effectExtent l="0" t="0" r="0" b="571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230" cy="18478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3DAA" w14:textId="7500F788" w:rsidR="00F46988" w:rsidRDefault="007A3A5A" w:rsidP="006A38D0">
                            <w:pPr>
                              <w:pStyle w:val="BodyText"/>
                              <w:tabs>
                                <w:tab w:val="left" w:pos="4951"/>
                                <w:tab w:val="left" w:pos="7241"/>
                              </w:tabs>
                              <w:ind w:left="108"/>
                              <w:jc w:val="center"/>
                              <w:rPr>
                                <w:color w:val="000000"/>
                              </w:rPr>
                            </w:pPr>
                            <w:r>
                              <w:rPr>
                                <w:color w:val="FFFFFF"/>
                                <w:spacing w:val="-8"/>
                              </w:rPr>
                              <w:t xml:space="preserve">Housing </w:t>
                            </w:r>
                            <w:r w:rsidR="00CB4120">
                              <w:rPr>
                                <w:color w:val="FFFFFF"/>
                                <w:spacing w:val="-8"/>
                              </w:rPr>
                              <w:t xml:space="preserve">Point System </w:t>
                            </w:r>
                            <w:r w:rsidR="00F46988">
                              <w:rPr>
                                <w:color w:val="FFFFFF"/>
                                <w:spacing w:val="-6"/>
                              </w:rPr>
                              <w:t xml:space="preserve"> </w:t>
                            </w:r>
                            <w:r w:rsidR="00F46988">
                              <w:rPr>
                                <w:color w:val="FFFFFF"/>
                              </w:rPr>
                              <w:tab/>
                            </w:r>
                            <w:r>
                              <w:rPr>
                                <w:color w:val="FFFFFF"/>
                              </w:rPr>
                              <w:tab/>
                            </w:r>
                            <w:r w:rsidR="00F46988">
                              <w:rPr>
                                <w:color w:val="FFFFFF"/>
                                <w:spacing w:val="-10"/>
                              </w:rPr>
                              <w:t xml:space="preserve"> </w:t>
                            </w:r>
                            <w:r w:rsidR="006A38D0">
                              <w:rPr>
                                <w:color w:val="FFFFFF"/>
                                <w:spacing w:val="-10"/>
                              </w:rPr>
                              <w:tab/>
                            </w:r>
                            <w:r w:rsidR="00F46988">
                              <w:rPr>
                                <w:color w:val="FFFFFF"/>
                                <w:spacing w:val="-2"/>
                              </w:rPr>
                              <w:t>Minimum</w:t>
                            </w:r>
                          </w:p>
                        </w:txbxContent>
                      </wps:txbx>
                      <wps:bodyPr rot="0" vert="horz" wrap="square" lIns="0" tIns="0" rIns="0" bIns="0" anchor="t" anchorCtr="0" upright="1">
                        <a:noAutofit/>
                      </wps:bodyPr>
                    </wps:wsp>
                  </a:graphicData>
                </a:graphic>
              </wp:inline>
            </w:drawing>
          </mc:Choice>
          <mc:Fallback>
            <w:pict>
              <v:shapetype w14:anchorId="7A19409A" id="_x0000_t202" coordsize="21600,21600" o:spt="202" path="m,l,21600r21600,l21600,xe">
                <v:stroke joinstyle="miter"/>
                <v:path gradientshapeok="t" o:connecttype="rect"/>
              </v:shapetype>
              <v:shape id="Text Box 45" o:spid="_x0000_s1026" type="#_x0000_t202" style="width:489.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" fillcolor="#001f5f" stroked="f">
                <v:textbox inset="0,0,0,0">
                  <w:txbxContent>
                    <w:p w14:paraId="7D743DAA" w14:textId="7500F788" w:rsidR="00F46988" w:rsidRDefault="007A3A5A" w:rsidP="006A38D0">
                      <w:pPr>
                        <w:pStyle w:val="BodyText"/>
                        <w:tabs>
                          <w:tab w:val="left" w:pos="4951"/>
                          <w:tab w:val="left" w:pos="7241"/>
                        </w:tabs>
                        <w:ind w:left="108"/>
                        <w:jc w:val="center"/>
                        <w:rPr>
                          <w:color w:val="000000"/>
                        </w:rPr>
                      </w:pPr>
                      <w:r>
                        <w:rPr>
                          <w:color w:val="FFFFFF"/>
                          <w:spacing w:val="-8"/>
                        </w:rPr>
                        <w:t xml:space="preserve">Housing </w:t>
                      </w:r>
                      <w:r w:rsidR="00CB4120">
                        <w:rPr>
                          <w:color w:val="FFFFFF"/>
                          <w:spacing w:val="-8"/>
                        </w:rPr>
                        <w:t xml:space="preserve">Point System </w:t>
                      </w:r>
                      <w:r w:rsidR="00F46988">
                        <w:rPr>
                          <w:color w:val="FFFFFF"/>
                          <w:spacing w:val="-6"/>
                        </w:rPr>
                        <w:t xml:space="preserve"> </w:t>
                      </w:r>
                      <w:r w:rsidR="00F46988">
                        <w:rPr>
                          <w:color w:val="FFFFFF"/>
                        </w:rPr>
                        <w:tab/>
                      </w:r>
                      <w:r>
                        <w:rPr>
                          <w:color w:val="FFFFFF"/>
                        </w:rPr>
                        <w:tab/>
                      </w:r>
                      <w:r w:rsidR="00F46988">
                        <w:rPr>
                          <w:color w:val="FFFFFF"/>
                          <w:spacing w:val="-10"/>
                        </w:rPr>
                        <w:t xml:space="preserve"> </w:t>
                      </w:r>
                      <w:r w:rsidR="006A38D0">
                        <w:rPr>
                          <w:color w:val="FFFFFF"/>
                          <w:spacing w:val="-10"/>
                        </w:rPr>
                        <w:tab/>
                      </w:r>
                      <w:r w:rsidR="00F46988">
                        <w:rPr>
                          <w:color w:val="FFFFFF"/>
                          <w:spacing w:val="-2"/>
                        </w:rPr>
                        <w:t>Minimum</w:t>
                      </w:r>
                    </w:p>
                  </w:txbxContent>
                </v:textbox>
                <w10:anchorlock/>
              </v:shape>
            </w:pict>
          </mc:Fallback>
        </mc:AlternateContent>
      </w:r>
    </w:p>
    <w:tbl>
      <w:tblPr>
        <w:tblStyle w:val="TableGrid"/>
        <w:tblW w:w="0" w:type="auto"/>
        <w:tblInd w:w="85" w:type="dxa"/>
        <w:tblLook w:val="04A0" w:firstRow="1" w:lastRow="0" w:firstColumn="1" w:lastColumn="0" w:noHBand="0" w:noVBand="1"/>
      </w:tblPr>
      <w:tblGrid>
        <w:gridCol w:w="8100"/>
        <w:gridCol w:w="1741"/>
      </w:tblGrid>
      <w:tr w:rsidR="006A38D0" w:rsidRPr="00041A32" w14:paraId="509A822D" w14:textId="77777777" w:rsidTr="002654B6">
        <w:tc>
          <w:tcPr>
            <w:tcW w:w="8100" w:type="dxa"/>
          </w:tcPr>
          <w:p w14:paraId="1FCD0F2A" w14:textId="3ED2A520" w:rsidR="006A38D0" w:rsidRPr="00041A32" w:rsidRDefault="006A38D0" w:rsidP="003B73C8">
            <w:pPr>
              <w:rPr>
                <w:sz w:val="24"/>
                <w:szCs w:val="24"/>
              </w:rPr>
            </w:pPr>
            <w:r w:rsidRPr="00041A32">
              <w:rPr>
                <w:sz w:val="24"/>
                <w:szCs w:val="24"/>
              </w:rPr>
              <w:t>Housing Assessment Tool/Community Needs</w:t>
            </w:r>
          </w:p>
        </w:tc>
        <w:tc>
          <w:tcPr>
            <w:tcW w:w="1741" w:type="dxa"/>
          </w:tcPr>
          <w:p w14:paraId="18CB76D5" w14:textId="6E9D0508" w:rsidR="006A38D0" w:rsidRPr="00041A32" w:rsidRDefault="006A38D0" w:rsidP="006A38D0">
            <w:pPr>
              <w:jc w:val="center"/>
              <w:rPr>
                <w:sz w:val="24"/>
                <w:szCs w:val="24"/>
              </w:rPr>
            </w:pPr>
            <w:r w:rsidRPr="00041A32">
              <w:rPr>
                <w:sz w:val="24"/>
                <w:szCs w:val="24"/>
              </w:rPr>
              <w:t>25</w:t>
            </w:r>
          </w:p>
        </w:tc>
      </w:tr>
      <w:tr w:rsidR="006A38D0" w:rsidRPr="00041A32" w14:paraId="31680246" w14:textId="77777777" w:rsidTr="002654B6">
        <w:tc>
          <w:tcPr>
            <w:tcW w:w="8100" w:type="dxa"/>
          </w:tcPr>
          <w:p w14:paraId="5280C60C" w14:textId="5AB14DF2" w:rsidR="006A38D0" w:rsidRPr="00041A32" w:rsidRDefault="006A38D0" w:rsidP="003B73C8">
            <w:pPr>
              <w:rPr>
                <w:sz w:val="24"/>
                <w:szCs w:val="24"/>
              </w:rPr>
            </w:pPr>
            <w:r w:rsidRPr="00041A32">
              <w:rPr>
                <w:sz w:val="24"/>
                <w:szCs w:val="24"/>
              </w:rPr>
              <w:t>Development of Project</w:t>
            </w:r>
          </w:p>
        </w:tc>
        <w:tc>
          <w:tcPr>
            <w:tcW w:w="1741" w:type="dxa"/>
          </w:tcPr>
          <w:p w14:paraId="313AA210" w14:textId="4D3A483B" w:rsidR="006A38D0" w:rsidRPr="00041A32" w:rsidRDefault="006A38D0" w:rsidP="006A38D0">
            <w:pPr>
              <w:jc w:val="center"/>
              <w:rPr>
                <w:sz w:val="24"/>
                <w:szCs w:val="24"/>
              </w:rPr>
            </w:pPr>
            <w:r w:rsidRPr="00041A32">
              <w:rPr>
                <w:sz w:val="24"/>
                <w:szCs w:val="24"/>
              </w:rPr>
              <w:t>15</w:t>
            </w:r>
          </w:p>
        </w:tc>
      </w:tr>
      <w:tr w:rsidR="006A38D0" w:rsidRPr="00041A32" w14:paraId="14E374AD" w14:textId="77777777" w:rsidTr="002654B6">
        <w:tc>
          <w:tcPr>
            <w:tcW w:w="8100" w:type="dxa"/>
          </w:tcPr>
          <w:p w14:paraId="7E2C15B0" w14:textId="7F6208A0" w:rsidR="006A38D0" w:rsidRPr="00041A32" w:rsidRDefault="006A38D0" w:rsidP="003B73C8">
            <w:pPr>
              <w:rPr>
                <w:sz w:val="24"/>
                <w:szCs w:val="24"/>
              </w:rPr>
            </w:pPr>
            <w:r w:rsidRPr="00041A32">
              <w:rPr>
                <w:sz w:val="24"/>
                <w:szCs w:val="24"/>
              </w:rPr>
              <w:t>Solution of Need</w:t>
            </w:r>
          </w:p>
        </w:tc>
        <w:tc>
          <w:tcPr>
            <w:tcW w:w="1741" w:type="dxa"/>
          </w:tcPr>
          <w:p w14:paraId="7C48EE1B" w14:textId="0B2C2F7C" w:rsidR="006A38D0" w:rsidRPr="00041A32" w:rsidRDefault="006A38D0" w:rsidP="006A38D0">
            <w:pPr>
              <w:jc w:val="center"/>
              <w:rPr>
                <w:sz w:val="24"/>
                <w:szCs w:val="24"/>
              </w:rPr>
            </w:pPr>
            <w:r w:rsidRPr="00041A32">
              <w:rPr>
                <w:sz w:val="24"/>
                <w:szCs w:val="24"/>
              </w:rPr>
              <w:t>25</w:t>
            </w:r>
          </w:p>
        </w:tc>
      </w:tr>
      <w:tr w:rsidR="006A38D0" w:rsidRPr="00041A32" w14:paraId="6BE0C374" w14:textId="77777777" w:rsidTr="002654B6">
        <w:tc>
          <w:tcPr>
            <w:tcW w:w="8100" w:type="dxa"/>
          </w:tcPr>
          <w:p w14:paraId="74FFD5DB" w14:textId="34C98580" w:rsidR="006A38D0" w:rsidRPr="00041A32" w:rsidRDefault="006A38D0" w:rsidP="003B73C8">
            <w:pPr>
              <w:rPr>
                <w:sz w:val="24"/>
                <w:szCs w:val="24"/>
              </w:rPr>
            </w:pPr>
            <w:r w:rsidRPr="00041A32">
              <w:rPr>
                <w:sz w:val="24"/>
                <w:szCs w:val="24"/>
              </w:rPr>
              <w:t>Target Area/Pre-applications received vs proposed activity</w:t>
            </w:r>
            <w:r w:rsidR="002654B6" w:rsidRPr="00041A32">
              <w:rPr>
                <w:sz w:val="24"/>
                <w:szCs w:val="24"/>
              </w:rPr>
              <w:t>/Complete Housing log</w:t>
            </w:r>
          </w:p>
        </w:tc>
        <w:tc>
          <w:tcPr>
            <w:tcW w:w="1741" w:type="dxa"/>
          </w:tcPr>
          <w:p w14:paraId="407565F6" w14:textId="77777777" w:rsidR="002654B6" w:rsidRPr="00041A32" w:rsidRDefault="002654B6" w:rsidP="006A38D0">
            <w:pPr>
              <w:jc w:val="center"/>
              <w:rPr>
                <w:sz w:val="24"/>
                <w:szCs w:val="24"/>
                <w:u w:val="single"/>
              </w:rPr>
            </w:pPr>
          </w:p>
          <w:p w14:paraId="15BC1791" w14:textId="08AF1997" w:rsidR="006A38D0" w:rsidRPr="00041A32" w:rsidRDefault="006A38D0" w:rsidP="006A38D0">
            <w:pPr>
              <w:jc w:val="center"/>
              <w:rPr>
                <w:sz w:val="24"/>
                <w:szCs w:val="24"/>
                <w:u w:val="single"/>
              </w:rPr>
            </w:pPr>
            <w:r w:rsidRPr="00041A32">
              <w:rPr>
                <w:sz w:val="24"/>
                <w:szCs w:val="24"/>
                <w:u w:val="single"/>
              </w:rPr>
              <w:t>35</w:t>
            </w:r>
          </w:p>
        </w:tc>
      </w:tr>
      <w:tr w:rsidR="006A38D0" w:rsidRPr="00041A32" w14:paraId="4F3E82EB" w14:textId="77777777" w:rsidTr="002654B6">
        <w:tc>
          <w:tcPr>
            <w:tcW w:w="8100" w:type="dxa"/>
          </w:tcPr>
          <w:p w14:paraId="5075D580" w14:textId="23F6686E" w:rsidR="006A38D0" w:rsidRPr="00041A32" w:rsidRDefault="006A38D0" w:rsidP="003B73C8">
            <w:pPr>
              <w:rPr>
                <w:sz w:val="24"/>
                <w:szCs w:val="24"/>
              </w:rPr>
            </w:pPr>
            <w:r w:rsidRPr="00041A32">
              <w:rPr>
                <w:sz w:val="24"/>
                <w:szCs w:val="24"/>
              </w:rPr>
              <w:t>Sub – TOTAL</w:t>
            </w:r>
          </w:p>
        </w:tc>
        <w:tc>
          <w:tcPr>
            <w:tcW w:w="1741" w:type="dxa"/>
          </w:tcPr>
          <w:p w14:paraId="538C7A59" w14:textId="03C036FA" w:rsidR="006A38D0" w:rsidRPr="00041A32" w:rsidRDefault="006A38D0" w:rsidP="006A38D0">
            <w:pPr>
              <w:jc w:val="center"/>
              <w:rPr>
                <w:sz w:val="24"/>
                <w:szCs w:val="24"/>
              </w:rPr>
            </w:pPr>
            <w:r w:rsidRPr="00041A32">
              <w:rPr>
                <w:sz w:val="24"/>
                <w:szCs w:val="24"/>
              </w:rPr>
              <w:t>100</w:t>
            </w:r>
          </w:p>
        </w:tc>
      </w:tr>
      <w:tr w:rsidR="006A38D0" w:rsidRPr="00041A32" w14:paraId="333A91B2" w14:textId="77777777" w:rsidTr="002654B6">
        <w:tc>
          <w:tcPr>
            <w:tcW w:w="8100" w:type="dxa"/>
          </w:tcPr>
          <w:p w14:paraId="28B738AC" w14:textId="5BD554FF" w:rsidR="006A38D0" w:rsidRPr="00041A32" w:rsidRDefault="006A38D0" w:rsidP="003B73C8">
            <w:pPr>
              <w:rPr>
                <w:sz w:val="24"/>
                <w:szCs w:val="24"/>
              </w:rPr>
            </w:pPr>
            <w:r w:rsidRPr="00041A32">
              <w:rPr>
                <w:sz w:val="24"/>
                <w:szCs w:val="24"/>
              </w:rPr>
              <w:t>Site Visit</w:t>
            </w:r>
          </w:p>
        </w:tc>
        <w:tc>
          <w:tcPr>
            <w:tcW w:w="1741" w:type="dxa"/>
          </w:tcPr>
          <w:p w14:paraId="1805D7F5" w14:textId="137DEFF7" w:rsidR="006A38D0" w:rsidRPr="00041A32" w:rsidRDefault="006A38D0" w:rsidP="006A38D0">
            <w:pPr>
              <w:jc w:val="center"/>
              <w:rPr>
                <w:sz w:val="24"/>
                <w:szCs w:val="24"/>
                <w:u w:val="single"/>
              </w:rPr>
            </w:pPr>
            <w:r w:rsidRPr="00041A32">
              <w:rPr>
                <w:sz w:val="24"/>
                <w:szCs w:val="24"/>
                <w:u w:val="single"/>
              </w:rPr>
              <w:t>25</w:t>
            </w:r>
          </w:p>
        </w:tc>
      </w:tr>
      <w:tr w:rsidR="006A38D0" w:rsidRPr="00041A32" w14:paraId="7092000D" w14:textId="77777777" w:rsidTr="002654B6">
        <w:tc>
          <w:tcPr>
            <w:tcW w:w="8100" w:type="dxa"/>
          </w:tcPr>
          <w:p w14:paraId="68F41C46" w14:textId="4795741C" w:rsidR="006A38D0" w:rsidRPr="00041A32" w:rsidRDefault="006A38D0" w:rsidP="003B73C8">
            <w:pPr>
              <w:rPr>
                <w:sz w:val="24"/>
                <w:szCs w:val="24"/>
              </w:rPr>
            </w:pPr>
            <w:r w:rsidRPr="00041A32">
              <w:rPr>
                <w:sz w:val="24"/>
                <w:szCs w:val="24"/>
              </w:rPr>
              <w:t>TOTAL</w:t>
            </w:r>
          </w:p>
        </w:tc>
        <w:tc>
          <w:tcPr>
            <w:tcW w:w="1741" w:type="dxa"/>
          </w:tcPr>
          <w:p w14:paraId="77ED95A0" w14:textId="1429F02A" w:rsidR="006A38D0" w:rsidRPr="00041A32" w:rsidRDefault="006A38D0" w:rsidP="006A38D0">
            <w:pPr>
              <w:jc w:val="center"/>
              <w:rPr>
                <w:sz w:val="24"/>
                <w:szCs w:val="24"/>
              </w:rPr>
            </w:pPr>
            <w:r w:rsidRPr="00041A32">
              <w:rPr>
                <w:sz w:val="24"/>
                <w:szCs w:val="24"/>
              </w:rPr>
              <w:t>125</w:t>
            </w:r>
          </w:p>
        </w:tc>
      </w:tr>
    </w:tbl>
    <w:p w14:paraId="0A3E283C" w14:textId="21E005EE" w:rsidR="00F46988" w:rsidRPr="00041A32" w:rsidRDefault="003B73C8" w:rsidP="006A38D0">
      <w:pPr>
        <w:ind w:firstLine="720"/>
        <w:rPr>
          <w:rFonts w:eastAsia="Calibri"/>
          <w:spacing w:val="-4"/>
          <w:sz w:val="24"/>
          <w:szCs w:val="24"/>
        </w:rPr>
      </w:pPr>
      <w:r w:rsidRPr="00041A32">
        <w:rPr>
          <w:sz w:val="24"/>
          <w:szCs w:val="24"/>
        </w:rPr>
        <w:tab/>
      </w:r>
      <w:r w:rsidRPr="00041A32">
        <w:rPr>
          <w:sz w:val="24"/>
          <w:szCs w:val="24"/>
        </w:rPr>
        <w:tab/>
      </w:r>
      <w:r w:rsidRPr="00041A32">
        <w:rPr>
          <w:sz w:val="24"/>
          <w:szCs w:val="24"/>
        </w:rPr>
        <w:tab/>
      </w:r>
      <w:r w:rsidRPr="00041A32">
        <w:rPr>
          <w:sz w:val="24"/>
          <w:szCs w:val="24"/>
        </w:rPr>
        <w:tab/>
      </w:r>
      <w:r w:rsidRPr="00041A32">
        <w:rPr>
          <w:sz w:val="24"/>
          <w:szCs w:val="24"/>
        </w:rPr>
        <w:tab/>
      </w:r>
      <w:r w:rsidRPr="00041A32">
        <w:rPr>
          <w:sz w:val="24"/>
          <w:szCs w:val="24"/>
        </w:rPr>
        <w:tab/>
      </w:r>
      <w:r w:rsidRPr="00041A32">
        <w:rPr>
          <w:sz w:val="24"/>
          <w:szCs w:val="24"/>
        </w:rPr>
        <w:tab/>
      </w:r>
    </w:p>
    <w:p w14:paraId="2C3B0F75" w14:textId="77777777" w:rsidR="006A38D0" w:rsidRPr="00041A32" w:rsidRDefault="006A38D0" w:rsidP="006A38D0">
      <w:pPr>
        <w:pStyle w:val="BodyText"/>
        <w:ind w:left="125"/>
        <w:rPr>
          <w:szCs w:val="24"/>
        </w:rPr>
      </w:pPr>
      <w:r w:rsidRPr="00041A32">
        <w:rPr>
          <w:noProof/>
          <w:szCs w:val="24"/>
        </w:rPr>
        <w:lastRenderedPageBreak/>
        <mc:AlternateContent>
          <mc:Choice Requires="wps">
            <w:drawing>
              <wp:inline distT="0" distB="0" distL="0" distR="0" wp14:anchorId="553531A3" wp14:editId="02506507">
                <wp:extent cx="6195255" cy="184785"/>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255" cy="18478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94E0E" w14:textId="34B1E03D" w:rsidR="006A38D0" w:rsidRDefault="00CB4120" w:rsidP="00CB4120">
                            <w:pPr>
                              <w:pStyle w:val="BodyText"/>
                              <w:tabs>
                                <w:tab w:val="left" w:pos="4951"/>
                                <w:tab w:val="left" w:pos="7241"/>
                              </w:tabs>
                              <w:ind w:left="108"/>
                              <w:jc w:val="center"/>
                              <w:rPr>
                                <w:color w:val="000000"/>
                              </w:rPr>
                            </w:pPr>
                            <w:r>
                              <w:rPr>
                                <w:color w:val="FFFFFF"/>
                                <w:spacing w:val="-8"/>
                              </w:rPr>
                              <w:t>Neighborhood</w:t>
                            </w:r>
                            <w:r w:rsidR="006A38D0">
                              <w:rPr>
                                <w:color w:val="FFFFFF"/>
                                <w:spacing w:val="-8"/>
                              </w:rPr>
                              <w:t xml:space="preserve"> </w:t>
                            </w:r>
                            <w:r>
                              <w:rPr>
                                <w:color w:val="FFFFFF"/>
                              </w:rPr>
                              <w:t xml:space="preserve">Development Point System </w:t>
                            </w:r>
                            <w:r w:rsidR="006A38D0">
                              <w:rPr>
                                <w:color w:val="FFFFFF"/>
                                <w:spacing w:val="-6"/>
                              </w:rPr>
                              <w:t xml:space="preserve"> </w:t>
                            </w:r>
                            <w:r w:rsidR="006A38D0">
                              <w:rPr>
                                <w:color w:val="FFFFFF"/>
                              </w:rPr>
                              <w:tab/>
                            </w:r>
                            <w:r w:rsidR="006A38D0">
                              <w:rPr>
                                <w:color w:val="FFFFFF"/>
                              </w:rPr>
                              <w:tab/>
                            </w:r>
                            <w:r w:rsidR="006A38D0">
                              <w:rPr>
                                <w:color w:val="FFFFFF"/>
                                <w:spacing w:val="-10"/>
                              </w:rPr>
                              <w:t xml:space="preserve"> </w:t>
                            </w:r>
                            <w:r w:rsidR="006A38D0">
                              <w:rPr>
                                <w:color w:val="FFFFFF"/>
                                <w:spacing w:val="-10"/>
                              </w:rPr>
                              <w:tab/>
                            </w:r>
                            <w:r w:rsidR="006A38D0">
                              <w:rPr>
                                <w:color w:val="FFFFFF"/>
                                <w:spacing w:val="-2"/>
                              </w:rPr>
                              <w:t>Minimum</w:t>
                            </w:r>
                          </w:p>
                        </w:txbxContent>
                      </wps:txbx>
                      <wps:bodyPr rot="0" vert="horz" wrap="square" lIns="0" tIns="0" rIns="0" bIns="0" anchor="t" anchorCtr="0" upright="1">
                        <a:noAutofit/>
                      </wps:bodyPr>
                    </wps:wsp>
                  </a:graphicData>
                </a:graphic>
              </wp:inline>
            </w:drawing>
          </mc:Choice>
          <mc:Fallback>
            <w:pict>
              <v:shape w14:anchorId="553531A3" id="Text Box 1" o:spid="_x0000_s1027" type="#_x0000_t202" style="width:487.8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" fillcolor="#001f5f" stroked="f">
                <v:textbox inset="0,0,0,0">
                  <w:txbxContent>
                    <w:p w14:paraId="5DC94E0E" w14:textId="34B1E03D" w:rsidR="006A38D0" w:rsidRDefault="00CB4120" w:rsidP="00CB4120">
                      <w:pPr>
                        <w:pStyle w:val="BodyText"/>
                        <w:tabs>
                          <w:tab w:val="left" w:pos="4951"/>
                          <w:tab w:val="left" w:pos="7241"/>
                        </w:tabs>
                        <w:ind w:left="108"/>
                        <w:jc w:val="center"/>
                        <w:rPr>
                          <w:color w:val="000000"/>
                        </w:rPr>
                      </w:pPr>
                      <w:r>
                        <w:rPr>
                          <w:color w:val="FFFFFF"/>
                          <w:spacing w:val="-8"/>
                        </w:rPr>
                        <w:t>Neighborhood</w:t>
                      </w:r>
                      <w:r w:rsidR="006A38D0">
                        <w:rPr>
                          <w:color w:val="FFFFFF"/>
                          <w:spacing w:val="-8"/>
                        </w:rPr>
                        <w:t xml:space="preserve"> </w:t>
                      </w:r>
                      <w:r>
                        <w:rPr>
                          <w:color w:val="FFFFFF"/>
                        </w:rPr>
                        <w:t xml:space="preserve">Development Point System </w:t>
                      </w:r>
                      <w:r w:rsidR="006A38D0">
                        <w:rPr>
                          <w:color w:val="FFFFFF"/>
                          <w:spacing w:val="-6"/>
                        </w:rPr>
                        <w:t xml:space="preserve"> </w:t>
                      </w:r>
                      <w:r w:rsidR="006A38D0">
                        <w:rPr>
                          <w:color w:val="FFFFFF"/>
                        </w:rPr>
                        <w:tab/>
                      </w:r>
                      <w:r w:rsidR="006A38D0">
                        <w:rPr>
                          <w:color w:val="FFFFFF"/>
                        </w:rPr>
                        <w:tab/>
                      </w:r>
                      <w:r w:rsidR="006A38D0">
                        <w:rPr>
                          <w:color w:val="FFFFFF"/>
                          <w:spacing w:val="-10"/>
                        </w:rPr>
                        <w:t xml:space="preserve"> </w:t>
                      </w:r>
                      <w:r w:rsidR="006A38D0">
                        <w:rPr>
                          <w:color w:val="FFFFFF"/>
                          <w:spacing w:val="-10"/>
                        </w:rPr>
                        <w:tab/>
                      </w:r>
                      <w:r w:rsidR="006A38D0">
                        <w:rPr>
                          <w:color w:val="FFFFFF"/>
                          <w:spacing w:val="-2"/>
                        </w:rPr>
                        <w:t>Minimum</w:t>
                      </w:r>
                    </w:p>
                  </w:txbxContent>
                </v:textbox>
                <w10:anchorlock/>
              </v:shape>
            </w:pict>
          </mc:Fallback>
        </mc:AlternateContent>
      </w:r>
    </w:p>
    <w:tbl>
      <w:tblPr>
        <w:tblStyle w:val="TableGrid"/>
        <w:tblW w:w="0" w:type="auto"/>
        <w:tblInd w:w="85" w:type="dxa"/>
        <w:tblLook w:val="04A0" w:firstRow="1" w:lastRow="0" w:firstColumn="1" w:lastColumn="0" w:noHBand="0" w:noVBand="1"/>
      </w:tblPr>
      <w:tblGrid>
        <w:gridCol w:w="8190"/>
        <w:gridCol w:w="1651"/>
      </w:tblGrid>
      <w:tr w:rsidR="006A38D0" w:rsidRPr="00041A32" w14:paraId="61DB4F2D" w14:textId="77777777" w:rsidTr="002654B6">
        <w:tc>
          <w:tcPr>
            <w:tcW w:w="8190" w:type="dxa"/>
          </w:tcPr>
          <w:p w14:paraId="70CCC202" w14:textId="7FF4237F" w:rsidR="006A38D0" w:rsidRPr="00041A32" w:rsidRDefault="006A38D0" w:rsidP="00841D72">
            <w:pPr>
              <w:rPr>
                <w:sz w:val="24"/>
                <w:szCs w:val="24"/>
              </w:rPr>
            </w:pPr>
            <w:r w:rsidRPr="00041A32">
              <w:rPr>
                <w:sz w:val="24"/>
                <w:szCs w:val="24"/>
              </w:rPr>
              <w:t>Housing Assessment Tool/Community Needs</w:t>
            </w:r>
          </w:p>
        </w:tc>
        <w:tc>
          <w:tcPr>
            <w:tcW w:w="1651" w:type="dxa"/>
          </w:tcPr>
          <w:p w14:paraId="7A3BC401" w14:textId="77777777" w:rsidR="006A38D0" w:rsidRPr="00041A32" w:rsidRDefault="006A38D0" w:rsidP="00841D72">
            <w:pPr>
              <w:jc w:val="center"/>
              <w:rPr>
                <w:sz w:val="24"/>
                <w:szCs w:val="24"/>
              </w:rPr>
            </w:pPr>
            <w:r w:rsidRPr="00041A32">
              <w:rPr>
                <w:sz w:val="24"/>
                <w:szCs w:val="24"/>
              </w:rPr>
              <w:t>25</w:t>
            </w:r>
          </w:p>
        </w:tc>
      </w:tr>
      <w:tr w:rsidR="006A38D0" w:rsidRPr="00041A32" w14:paraId="08B11382" w14:textId="77777777" w:rsidTr="002654B6">
        <w:tc>
          <w:tcPr>
            <w:tcW w:w="8190" w:type="dxa"/>
          </w:tcPr>
          <w:p w14:paraId="35795215" w14:textId="77777777" w:rsidR="006A38D0" w:rsidRPr="00041A32" w:rsidRDefault="006A38D0" w:rsidP="00841D72">
            <w:pPr>
              <w:rPr>
                <w:sz w:val="24"/>
                <w:szCs w:val="24"/>
              </w:rPr>
            </w:pPr>
            <w:r w:rsidRPr="00041A32">
              <w:rPr>
                <w:sz w:val="24"/>
                <w:szCs w:val="24"/>
              </w:rPr>
              <w:t>Development of Project</w:t>
            </w:r>
          </w:p>
        </w:tc>
        <w:tc>
          <w:tcPr>
            <w:tcW w:w="1651" w:type="dxa"/>
          </w:tcPr>
          <w:p w14:paraId="0A4EB637" w14:textId="77777777" w:rsidR="006A38D0" w:rsidRPr="00041A32" w:rsidRDefault="006A38D0" w:rsidP="00841D72">
            <w:pPr>
              <w:jc w:val="center"/>
              <w:rPr>
                <w:sz w:val="24"/>
                <w:szCs w:val="24"/>
              </w:rPr>
            </w:pPr>
            <w:r w:rsidRPr="00041A32">
              <w:rPr>
                <w:sz w:val="24"/>
                <w:szCs w:val="24"/>
              </w:rPr>
              <w:t>15</w:t>
            </w:r>
          </w:p>
        </w:tc>
      </w:tr>
      <w:tr w:rsidR="006A38D0" w:rsidRPr="00041A32" w14:paraId="413DDBD6" w14:textId="77777777" w:rsidTr="002654B6">
        <w:tc>
          <w:tcPr>
            <w:tcW w:w="8190" w:type="dxa"/>
          </w:tcPr>
          <w:p w14:paraId="0C460632" w14:textId="77777777" w:rsidR="006A38D0" w:rsidRPr="00041A32" w:rsidRDefault="006A38D0" w:rsidP="00841D72">
            <w:pPr>
              <w:rPr>
                <w:sz w:val="24"/>
                <w:szCs w:val="24"/>
              </w:rPr>
            </w:pPr>
            <w:r w:rsidRPr="00041A32">
              <w:rPr>
                <w:sz w:val="24"/>
                <w:szCs w:val="24"/>
              </w:rPr>
              <w:t>Solution of Need</w:t>
            </w:r>
          </w:p>
        </w:tc>
        <w:tc>
          <w:tcPr>
            <w:tcW w:w="1651" w:type="dxa"/>
          </w:tcPr>
          <w:p w14:paraId="756866D4" w14:textId="77777777" w:rsidR="006A38D0" w:rsidRPr="00041A32" w:rsidRDefault="006A38D0" w:rsidP="00841D72">
            <w:pPr>
              <w:jc w:val="center"/>
              <w:rPr>
                <w:sz w:val="24"/>
                <w:szCs w:val="24"/>
              </w:rPr>
            </w:pPr>
            <w:r w:rsidRPr="00041A32">
              <w:rPr>
                <w:sz w:val="24"/>
                <w:szCs w:val="24"/>
              </w:rPr>
              <w:t>25</w:t>
            </w:r>
          </w:p>
        </w:tc>
      </w:tr>
      <w:tr w:rsidR="006A38D0" w:rsidRPr="00041A32" w14:paraId="7862F6F1" w14:textId="77777777" w:rsidTr="002654B6">
        <w:tc>
          <w:tcPr>
            <w:tcW w:w="8190" w:type="dxa"/>
          </w:tcPr>
          <w:p w14:paraId="7D276E4A" w14:textId="24F41144" w:rsidR="006A38D0" w:rsidRPr="00041A32" w:rsidRDefault="006A38D0" w:rsidP="00841D72">
            <w:pPr>
              <w:rPr>
                <w:sz w:val="24"/>
                <w:szCs w:val="24"/>
              </w:rPr>
            </w:pPr>
            <w:r w:rsidRPr="00041A32">
              <w:rPr>
                <w:sz w:val="24"/>
                <w:szCs w:val="24"/>
              </w:rPr>
              <w:t>Target Area/Pre-applications received vs proposed activit</w:t>
            </w:r>
            <w:r w:rsidR="002654B6" w:rsidRPr="00041A32">
              <w:rPr>
                <w:sz w:val="24"/>
                <w:szCs w:val="24"/>
              </w:rPr>
              <w:t>y/complete housing log</w:t>
            </w:r>
          </w:p>
        </w:tc>
        <w:tc>
          <w:tcPr>
            <w:tcW w:w="1651" w:type="dxa"/>
          </w:tcPr>
          <w:p w14:paraId="3BAA208A" w14:textId="77777777" w:rsidR="002654B6" w:rsidRPr="00041A32" w:rsidRDefault="002654B6" w:rsidP="00841D72">
            <w:pPr>
              <w:jc w:val="center"/>
              <w:rPr>
                <w:sz w:val="24"/>
                <w:szCs w:val="24"/>
              </w:rPr>
            </w:pPr>
          </w:p>
          <w:p w14:paraId="6CBF0D02" w14:textId="424712D4" w:rsidR="006A38D0" w:rsidRPr="00041A32" w:rsidRDefault="006A38D0" w:rsidP="00841D72">
            <w:pPr>
              <w:jc w:val="center"/>
              <w:rPr>
                <w:sz w:val="24"/>
                <w:szCs w:val="24"/>
              </w:rPr>
            </w:pPr>
            <w:r w:rsidRPr="00041A32">
              <w:rPr>
                <w:sz w:val="24"/>
                <w:szCs w:val="24"/>
              </w:rPr>
              <w:t>35</w:t>
            </w:r>
          </w:p>
        </w:tc>
      </w:tr>
      <w:tr w:rsidR="006A38D0" w:rsidRPr="00041A32" w14:paraId="30FFBCDB" w14:textId="77777777" w:rsidTr="002654B6">
        <w:tc>
          <w:tcPr>
            <w:tcW w:w="8190" w:type="dxa"/>
          </w:tcPr>
          <w:p w14:paraId="1085FADD" w14:textId="518BCD92" w:rsidR="006A38D0" w:rsidRPr="00041A32" w:rsidRDefault="006A38D0" w:rsidP="00841D72">
            <w:pPr>
              <w:rPr>
                <w:sz w:val="24"/>
                <w:szCs w:val="24"/>
              </w:rPr>
            </w:pPr>
            <w:r w:rsidRPr="00041A32">
              <w:rPr>
                <w:sz w:val="24"/>
                <w:szCs w:val="24"/>
              </w:rPr>
              <w:t>Need and solution for infrastructure</w:t>
            </w:r>
          </w:p>
        </w:tc>
        <w:tc>
          <w:tcPr>
            <w:tcW w:w="1651" w:type="dxa"/>
          </w:tcPr>
          <w:p w14:paraId="7EF5A674" w14:textId="4D20A072" w:rsidR="006A38D0" w:rsidRPr="00041A32" w:rsidRDefault="006A38D0" w:rsidP="00841D72">
            <w:pPr>
              <w:jc w:val="center"/>
              <w:rPr>
                <w:sz w:val="24"/>
                <w:szCs w:val="24"/>
                <w:u w:val="thick"/>
              </w:rPr>
            </w:pPr>
            <w:r w:rsidRPr="00041A32">
              <w:rPr>
                <w:sz w:val="24"/>
                <w:szCs w:val="24"/>
                <w:u w:val="thick"/>
              </w:rPr>
              <w:t>25</w:t>
            </w:r>
          </w:p>
        </w:tc>
      </w:tr>
      <w:tr w:rsidR="006A38D0" w:rsidRPr="00041A32" w14:paraId="7292EA74" w14:textId="77777777" w:rsidTr="002654B6">
        <w:tc>
          <w:tcPr>
            <w:tcW w:w="8190" w:type="dxa"/>
          </w:tcPr>
          <w:p w14:paraId="07A86714" w14:textId="77777777" w:rsidR="006A38D0" w:rsidRPr="00041A32" w:rsidRDefault="006A38D0" w:rsidP="00841D72">
            <w:pPr>
              <w:rPr>
                <w:sz w:val="24"/>
                <w:szCs w:val="24"/>
              </w:rPr>
            </w:pPr>
            <w:r w:rsidRPr="00041A32">
              <w:rPr>
                <w:sz w:val="24"/>
                <w:szCs w:val="24"/>
              </w:rPr>
              <w:t>Sub – TOTAL</w:t>
            </w:r>
          </w:p>
        </w:tc>
        <w:tc>
          <w:tcPr>
            <w:tcW w:w="1651" w:type="dxa"/>
          </w:tcPr>
          <w:p w14:paraId="6287108D" w14:textId="26FB3021" w:rsidR="006A38D0" w:rsidRPr="00041A32" w:rsidRDefault="006A38D0" w:rsidP="00841D72">
            <w:pPr>
              <w:jc w:val="center"/>
              <w:rPr>
                <w:sz w:val="24"/>
                <w:szCs w:val="24"/>
              </w:rPr>
            </w:pPr>
            <w:r w:rsidRPr="00041A32">
              <w:rPr>
                <w:sz w:val="24"/>
                <w:szCs w:val="24"/>
              </w:rPr>
              <w:t>125</w:t>
            </w:r>
          </w:p>
        </w:tc>
      </w:tr>
      <w:tr w:rsidR="006A38D0" w:rsidRPr="00041A32" w14:paraId="45C9D7BE" w14:textId="77777777" w:rsidTr="002654B6">
        <w:tc>
          <w:tcPr>
            <w:tcW w:w="8190" w:type="dxa"/>
          </w:tcPr>
          <w:p w14:paraId="0939604D" w14:textId="77777777" w:rsidR="006A38D0" w:rsidRPr="00041A32" w:rsidRDefault="006A38D0" w:rsidP="00841D72">
            <w:pPr>
              <w:rPr>
                <w:sz w:val="24"/>
                <w:szCs w:val="24"/>
              </w:rPr>
            </w:pPr>
            <w:r w:rsidRPr="00041A32">
              <w:rPr>
                <w:sz w:val="24"/>
                <w:szCs w:val="24"/>
              </w:rPr>
              <w:t>Site Visit</w:t>
            </w:r>
          </w:p>
        </w:tc>
        <w:tc>
          <w:tcPr>
            <w:tcW w:w="1651" w:type="dxa"/>
          </w:tcPr>
          <w:p w14:paraId="79301CB2" w14:textId="77777777" w:rsidR="006A38D0" w:rsidRPr="00041A32" w:rsidRDefault="006A38D0" w:rsidP="00841D72">
            <w:pPr>
              <w:jc w:val="center"/>
              <w:rPr>
                <w:sz w:val="24"/>
                <w:szCs w:val="24"/>
                <w:u w:val="thick"/>
              </w:rPr>
            </w:pPr>
            <w:r w:rsidRPr="00041A32">
              <w:rPr>
                <w:sz w:val="24"/>
                <w:szCs w:val="24"/>
                <w:u w:val="thick"/>
              </w:rPr>
              <w:t>25</w:t>
            </w:r>
          </w:p>
        </w:tc>
      </w:tr>
      <w:tr w:rsidR="006A38D0" w:rsidRPr="00041A32" w14:paraId="5A0D350B" w14:textId="77777777" w:rsidTr="002654B6">
        <w:tc>
          <w:tcPr>
            <w:tcW w:w="8190" w:type="dxa"/>
          </w:tcPr>
          <w:p w14:paraId="6B667042" w14:textId="77777777" w:rsidR="006A38D0" w:rsidRPr="00041A32" w:rsidRDefault="006A38D0" w:rsidP="00841D72">
            <w:pPr>
              <w:rPr>
                <w:sz w:val="24"/>
                <w:szCs w:val="24"/>
              </w:rPr>
            </w:pPr>
            <w:r w:rsidRPr="00041A32">
              <w:rPr>
                <w:sz w:val="24"/>
                <w:szCs w:val="24"/>
              </w:rPr>
              <w:t>TOTAL</w:t>
            </w:r>
          </w:p>
        </w:tc>
        <w:tc>
          <w:tcPr>
            <w:tcW w:w="1651" w:type="dxa"/>
          </w:tcPr>
          <w:p w14:paraId="53ED84D1" w14:textId="71ECAB81" w:rsidR="006A38D0" w:rsidRPr="00041A32" w:rsidRDefault="006A38D0" w:rsidP="00841D72">
            <w:pPr>
              <w:jc w:val="center"/>
              <w:rPr>
                <w:sz w:val="24"/>
                <w:szCs w:val="24"/>
              </w:rPr>
            </w:pPr>
            <w:r w:rsidRPr="00041A32">
              <w:rPr>
                <w:sz w:val="24"/>
                <w:szCs w:val="24"/>
              </w:rPr>
              <w:t>150</w:t>
            </w:r>
          </w:p>
        </w:tc>
      </w:tr>
    </w:tbl>
    <w:p w14:paraId="42E2038E" w14:textId="77777777" w:rsidR="009A13BE" w:rsidRPr="00041A32" w:rsidRDefault="009A13BE" w:rsidP="006A6C90">
      <w:pPr>
        <w:pStyle w:val="ListParagraph"/>
        <w:tabs>
          <w:tab w:val="left" w:pos="841"/>
        </w:tabs>
        <w:spacing w:before="77" w:line="259" w:lineRule="auto"/>
        <w:ind w:left="0" w:right="1220"/>
        <w:rPr>
          <w:b/>
          <w:bCs/>
          <w:sz w:val="24"/>
          <w:szCs w:val="24"/>
        </w:rPr>
      </w:pPr>
    </w:p>
    <w:p w14:paraId="765E8EEC" w14:textId="77777777" w:rsidR="00F27210" w:rsidRPr="00041A32" w:rsidRDefault="00F27210" w:rsidP="00FE5824">
      <w:pPr>
        <w:rPr>
          <w:b/>
          <w:bCs/>
          <w:sz w:val="24"/>
          <w:szCs w:val="24"/>
        </w:rPr>
      </w:pPr>
      <w:r w:rsidRPr="00041A32">
        <w:rPr>
          <w:b/>
          <w:bCs/>
          <w:sz w:val="24"/>
          <w:szCs w:val="24"/>
        </w:rPr>
        <w:t>Public Hearing requirements</w:t>
      </w:r>
    </w:p>
    <w:p w14:paraId="6380989C" w14:textId="2AC8ABA1" w:rsidR="00F27210" w:rsidRPr="00041A32" w:rsidRDefault="00F27210" w:rsidP="00F27210">
      <w:pPr>
        <w:numPr>
          <w:ilvl w:val="0"/>
          <w:numId w:val="30"/>
        </w:numPr>
        <w:tabs>
          <w:tab w:val="left" w:pos="720"/>
          <w:tab w:val="left" w:pos="1440"/>
        </w:tabs>
        <w:ind w:left="720"/>
        <w:rPr>
          <w:sz w:val="24"/>
          <w:szCs w:val="24"/>
        </w:rPr>
      </w:pPr>
      <w:r w:rsidRPr="00041A32">
        <w:rPr>
          <w:sz w:val="24"/>
          <w:szCs w:val="24"/>
        </w:rPr>
        <w:t>The public hearing notice must be published at least five full days before (starting one day after the publication date and not counting the date of the hearing, i.e., a total of seven days) but not more than 20 before the public hearing.  The public hearing must occur a minimum of 15 days but not more than 120 days before the application is submitted.</w:t>
      </w:r>
    </w:p>
    <w:p w14:paraId="43276E97" w14:textId="77777777" w:rsidR="00F27210" w:rsidRPr="00041A32" w:rsidRDefault="00F27210" w:rsidP="00F27210">
      <w:pPr>
        <w:numPr>
          <w:ilvl w:val="0"/>
          <w:numId w:val="30"/>
        </w:numPr>
        <w:tabs>
          <w:tab w:val="left" w:pos="720"/>
        </w:tabs>
        <w:ind w:left="720"/>
        <w:rPr>
          <w:sz w:val="24"/>
          <w:szCs w:val="24"/>
        </w:rPr>
      </w:pPr>
      <w:r w:rsidRPr="00041A32">
        <w:rPr>
          <w:sz w:val="24"/>
          <w:szCs w:val="24"/>
        </w:rPr>
        <w:t xml:space="preserve">The total project funding and CDBG amount requested must match what appears in the public hearing notice.  </w:t>
      </w:r>
    </w:p>
    <w:p w14:paraId="576B7475" w14:textId="6F6CFCB4" w:rsidR="00F27210" w:rsidRPr="00041A32" w:rsidRDefault="00F27210" w:rsidP="00F27210">
      <w:pPr>
        <w:numPr>
          <w:ilvl w:val="0"/>
          <w:numId w:val="30"/>
        </w:numPr>
        <w:tabs>
          <w:tab w:val="left" w:pos="720"/>
        </w:tabs>
        <w:ind w:left="720"/>
        <w:rPr>
          <w:sz w:val="24"/>
          <w:szCs w:val="24"/>
        </w:rPr>
      </w:pPr>
      <w:r w:rsidRPr="00041A32">
        <w:rPr>
          <w:sz w:val="24"/>
          <w:szCs w:val="24"/>
        </w:rPr>
        <w:t>The number of rehabilitation properties and demolition units must match as well.</w:t>
      </w:r>
    </w:p>
    <w:p w14:paraId="660A8BA2" w14:textId="77777777" w:rsidR="00F27210" w:rsidRPr="00041A32" w:rsidRDefault="00F27210" w:rsidP="00FE5824">
      <w:pPr>
        <w:rPr>
          <w:b/>
          <w:bCs/>
          <w:sz w:val="24"/>
          <w:szCs w:val="24"/>
        </w:rPr>
      </w:pPr>
    </w:p>
    <w:p w14:paraId="103A6738" w14:textId="0163A055" w:rsidR="00FE5824" w:rsidRPr="00041A32" w:rsidRDefault="00FE5824" w:rsidP="00FE5824">
      <w:pPr>
        <w:rPr>
          <w:b/>
          <w:bCs/>
          <w:sz w:val="24"/>
          <w:szCs w:val="24"/>
        </w:rPr>
      </w:pPr>
      <w:r w:rsidRPr="00041A32">
        <w:rPr>
          <w:b/>
          <w:bCs/>
          <w:sz w:val="24"/>
          <w:szCs w:val="24"/>
        </w:rPr>
        <w:t xml:space="preserve">Threshold Requirements or </w:t>
      </w:r>
      <w:r w:rsidR="00F46988" w:rsidRPr="00041A32">
        <w:rPr>
          <w:b/>
          <w:bCs/>
          <w:sz w:val="24"/>
          <w:szCs w:val="24"/>
        </w:rPr>
        <w:t>Incomplete Applications</w:t>
      </w:r>
      <w:r w:rsidRPr="00041A32">
        <w:rPr>
          <w:b/>
          <w:bCs/>
          <w:sz w:val="24"/>
          <w:szCs w:val="24"/>
        </w:rPr>
        <w:t xml:space="preserve"> </w:t>
      </w:r>
    </w:p>
    <w:p w14:paraId="0A33B4FF" w14:textId="51CD7276" w:rsidR="00F86FE3" w:rsidRPr="00041A32" w:rsidRDefault="00F46988" w:rsidP="00F46988">
      <w:pPr>
        <w:pStyle w:val="ListParagraph"/>
        <w:tabs>
          <w:tab w:val="left" w:pos="841"/>
        </w:tabs>
        <w:spacing w:before="77" w:line="259" w:lineRule="auto"/>
        <w:ind w:left="340" w:right="1220"/>
        <w:rPr>
          <w:sz w:val="24"/>
          <w:szCs w:val="24"/>
        </w:rPr>
      </w:pPr>
      <w:r w:rsidRPr="00041A32">
        <w:rPr>
          <w:sz w:val="24"/>
          <w:szCs w:val="24"/>
        </w:rPr>
        <w:t xml:space="preserve">If an </w:t>
      </w:r>
      <w:r w:rsidR="00FE5824" w:rsidRPr="00041A32">
        <w:rPr>
          <w:sz w:val="24"/>
          <w:szCs w:val="24"/>
        </w:rPr>
        <w:t xml:space="preserve">application does not meet all threshold requirements or is </w:t>
      </w:r>
      <w:r w:rsidRPr="00041A32">
        <w:rPr>
          <w:sz w:val="24"/>
          <w:szCs w:val="24"/>
        </w:rPr>
        <w:t xml:space="preserve">incomplete </w:t>
      </w:r>
      <w:r w:rsidR="00FE5824" w:rsidRPr="00041A32">
        <w:rPr>
          <w:sz w:val="24"/>
          <w:szCs w:val="24"/>
        </w:rPr>
        <w:t>upon submittal</w:t>
      </w:r>
      <w:r w:rsidRPr="00041A32">
        <w:rPr>
          <w:sz w:val="24"/>
          <w:szCs w:val="24"/>
        </w:rPr>
        <w:t xml:space="preserve"> for funding consideration, </w:t>
      </w:r>
      <w:r w:rsidR="009A13BE" w:rsidRPr="00041A32">
        <w:rPr>
          <w:sz w:val="24"/>
          <w:szCs w:val="24"/>
        </w:rPr>
        <w:t xml:space="preserve">the application will be returned and must be resubmitted.  </w:t>
      </w:r>
      <w:r w:rsidRPr="00041A32">
        <w:rPr>
          <w:sz w:val="24"/>
          <w:szCs w:val="24"/>
        </w:rPr>
        <w:t>An application is considered incomplete when a required signature is missing, required form(s) are left out of the application or the forms are incomplete.</w:t>
      </w:r>
    </w:p>
    <w:p w14:paraId="190032C2" w14:textId="77777777" w:rsidR="006A6C90" w:rsidRPr="00041A32" w:rsidRDefault="006A6C90" w:rsidP="00F46988">
      <w:pPr>
        <w:pStyle w:val="ListParagraph"/>
        <w:tabs>
          <w:tab w:val="left" w:pos="841"/>
        </w:tabs>
        <w:spacing w:before="77" w:line="259" w:lineRule="auto"/>
        <w:ind w:left="340" w:right="1220"/>
        <w:rPr>
          <w:sz w:val="24"/>
          <w:szCs w:val="24"/>
        </w:rPr>
      </w:pPr>
    </w:p>
    <w:p w14:paraId="49F59C22" w14:textId="254D605C" w:rsidR="003B73C8" w:rsidRPr="00041A32" w:rsidRDefault="003B73C8" w:rsidP="003B73C8">
      <w:pPr>
        <w:rPr>
          <w:sz w:val="24"/>
          <w:szCs w:val="24"/>
        </w:rPr>
      </w:pPr>
      <w:r w:rsidRPr="00041A32">
        <w:rPr>
          <w:b/>
          <w:sz w:val="24"/>
          <w:szCs w:val="24"/>
          <w:u w:val="single"/>
        </w:rPr>
        <w:t>Housing Narratives</w:t>
      </w:r>
    </w:p>
    <w:p w14:paraId="1C8658B2" w14:textId="3567FA4B" w:rsidR="003B73C8" w:rsidRPr="00041A32" w:rsidRDefault="003B73C8" w:rsidP="003B73C8">
      <w:pPr>
        <w:pStyle w:val="ListParagraph"/>
        <w:numPr>
          <w:ilvl w:val="0"/>
          <w:numId w:val="34"/>
        </w:numPr>
        <w:overflowPunct/>
        <w:autoSpaceDE/>
        <w:autoSpaceDN/>
        <w:adjustRightInd/>
        <w:contextualSpacing/>
        <w:textAlignment w:val="auto"/>
        <w:rPr>
          <w:b/>
          <w:sz w:val="24"/>
          <w:szCs w:val="24"/>
        </w:rPr>
      </w:pPr>
      <w:r w:rsidRPr="00041A32">
        <w:rPr>
          <w:b/>
          <w:sz w:val="24"/>
          <w:szCs w:val="24"/>
        </w:rPr>
        <w:t xml:space="preserve">Housing Assessment Tool/Community Needs </w:t>
      </w:r>
      <w:r w:rsidR="009A13BE" w:rsidRPr="00041A32">
        <w:rPr>
          <w:b/>
          <w:sz w:val="24"/>
          <w:szCs w:val="24"/>
        </w:rPr>
        <w:t xml:space="preserve"> </w:t>
      </w:r>
      <w:r w:rsidRPr="00041A32">
        <w:rPr>
          <w:b/>
          <w:sz w:val="24"/>
          <w:szCs w:val="24"/>
        </w:rPr>
        <w:t>(25 points for HAT and narrative)</w:t>
      </w:r>
    </w:p>
    <w:p w14:paraId="690572AA" w14:textId="77777777" w:rsidR="003B73C8" w:rsidRPr="00041A32" w:rsidRDefault="003B73C8" w:rsidP="003B73C8">
      <w:pPr>
        <w:rPr>
          <w:sz w:val="24"/>
          <w:szCs w:val="24"/>
        </w:rPr>
      </w:pPr>
    </w:p>
    <w:p w14:paraId="110CC0F9" w14:textId="77777777" w:rsidR="003B73C8" w:rsidRPr="00041A32" w:rsidRDefault="003B73C8" w:rsidP="003B73C8">
      <w:pPr>
        <w:pStyle w:val="ListParagraph"/>
        <w:numPr>
          <w:ilvl w:val="0"/>
          <w:numId w:val="35"/>
        </w:numPr>
        <w:overflowPunct/>
        <w:autoSpaceDE/>
        <w:autoSpaceDN/>
        <w:adjustRightInd/>
        <w:ind w:left="630" w:hanging="270"/>
        <w:contextualSpacing/>
        <w:textAlignment w:val="auto"/>
        <w:rPr>
          <w:sz w:val="24"/>
          <w:szCs w:val="24"/>
        </w:rPr>
      </w:pPr>
      <w:r w:rsidRPr="00041A32">
        <w:rPr>
          <w:sz w:val="24"/>
          <w:szCs w:val="24"/>
        </w:rPr>
        <w:t>Explain how the HAT was completed.  Points will be awarded on the comprehensiveness and accuracy of the assessment tool.</w:t>
      </w:r>
    </w:p>
    <w:p w14:paraId="3153C26F" w14:textId="2E55E2C1" w:rsidR="003B73C8" w:rsidRPr="00041A32" w:rsidRDefault="003B73C8" w:rsidP="003B73C8">
      <w:pPr>
        <w:pStyle w:val="ListParagraph"/>
        <w:numPr>
          <w:ilvl w:val="0"/>
          <w:numId w:val="35"/>
        </w:numPr>
        <w:overflowPunct/>
        <w:autoSpaceDE/>
        <w:autoSpaceDN/>
        <w:adjustRightInd/>
        <w:ind w:left="630" w:hanging="270"/>
        <w:contextualSpacing/>
        <w:textAlignment w:val="auto"/>
        <w:rPr>
          <w:sz w:val="24"/>
          <w:szCs w:val="24"/>
        </w:rPr>
      </w:pPr>
      <w:r w:rsidRPr="00041A32">
        <w:rPr>
          <w:sz w:val="24"/>
          <w:szCs w:val="24"/>
        </w:rPr>
        <w:t xml:space="preserve">How would grant </w:t>
      </w:r>
      <w:r w:rsidR="00F86FE3" w:rsidRPr="00041A32">
        <w:rPr>
          <w:sz w:val="24"/>
          <w:szCs w:val="24"/>
        </w:rPr>
        <w:t>awards</w:t>
      </w:r>
      <w:r w:rsidRPr="00041A32">
        <w:rPr>
          <w:sz w:val="24"/>
          <w:szCs w:val="24"/>
        </w:rPr>
        <w:t xml:space="preserve"> serve the </w:t>
      </w:r>
      <w:r w:rsidR="00F86FE3" w:rsidRPr="00041A32">
        <w:rPr>
          <w:sz w:val="24"/>
          <w:szCs w:val="24"/>
        </w:rPr>
        <w:t xml:space="preserve">needs of </w:t>
      </w:r>
      <w:r w:rsidRPr="00041A32">
        <w:rPr>
          <w:sz w:val="24"/>
          <w:szCs w:val="24"/>
        </w:rPr>
        <w:t>the city identified in the HAT?</w:t>
      </w:r>
    </w:p>
    <w:p w14:paraId="251190B7" w14:textId="77777777" w:rsidR="003B73C8" w:rsidRPr="00041A32" w:rsidRDefault="003B73C8" w:rsidP="003B73C8">
      <w:pPr>
        <w:rPr>
          <w:sz w:val="24"/>
          <w:szCs w:val="24"/>
        </w:rPr>
      </w:pPr>
    </w:p>
    <w:p w14:paraId="2DE9834A" w14:textId="77777777" w:rsidR="003B73C8" w:rsidRPr="00041A32" w:rsidRDefault="003B73C8" w:rsidP="003B73C8">
      <w:pPr>
        <w:pStyle w:val="ListParagraph"/>
        <w:numPr>
          <w:ilvl w:val="0"/>
          <w:numId w:val="34"/>
        </w:numPr>
        <w:overflowPunct/>
        <w:autoSpaceDE/>
        <w:autoSpaceDN/>
        <w:adjustRightInd/>
        <w:contextualSpacing/>
        <w:textAlignment w:val="auto"/>
        <w:rPr>
          <w:b/>
          <w:sz w:val="24"/>
          <w:szCs w:val="24"/>
        </w:rPr>
      </w:pPr>
      <w:r w:rsidRPr="00041A32">
        <w:rPr>
          <w:b/>
          <w:sz w:val="24"/>
          <w:szCs w:val="24"/>
        </w:rPr>
        <w:t>Development of Project (15 points for narrative)</w:t>
      </w:r>
    </w:p>
    <w:p w14:paraId="725E7A4F" w14:textId="77777777" w:rsidR="003B73C8" w:rsidRPr="00041A32" w:rsidRDefault="003B73C8" w:rsidP="003B73C8">
      <w:pPr>
        <w:rPr>
          <w:sz w:val="24"/>
          <w:szCs w:val="24"/>
        </w:rPr>
      </w:pPr>
    </w:p>
    <w:p w14:paraId="2D870D08" w14:textId="77777777"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How was the scope of work developed?</w:t>
      </w:r>
    </w:p>
    <w:p w14:paraId="310BA7C6" w14:textId="77777777"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What is eligible and ineligible?</w:t>
      </w:r>
    </w:p>
    <w:p w14:paraId="273035CA" w14:textId="77777777"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How many rehabilitations are being proposed and why?</w:t>
      </w:r>
    </w:p>
    <w:p w14:paraId="7F8C5E92" w14:textId="29881111"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 xml:space="preserve">How many demolitions </w:t>
      </w:r>
      <w:r w:rsidR="005A3146" w:rsidRPr="00041A32">
        <w:rPr>
          <w:sz w:val="24"/>
          <w:szCs w:val="24"/>
        </w:rPr>
        <w:t>are being proposed</w:t>
      </w:r>
      <w:r w:rsidRPr="00041A32">
        <w:rPr>
          <w:sz w:val="24"/>
          <w:szCs w:val="24"/>
        </w:rPr>
        <w:t>,</w:t>
      </w:r>
      <w:r w:rsidR="00F86FE3" w:rsidRPr="00041A32">
        <w:rPr>
          <w:sz w:val="24"/>
          <w:szCs w:val="24"/>
        </w:rPr>
        <w:t xml:space="preserve"> </w:t>
      </w:r>
      <w:r w:rsidR="005A3146" w:rsidRPr="00041A32">
        <w:rPr>
          <w:sz w:val="24"/>
          <w:szCs w:val="24"/>
        </w:rPr>
        <w:t>and</w:t>
      </w:r>
      <w:r w:rsidR="00F86FE3" w:rsidRPr="00041A32">
        <w:rPr>
          <w:sz w:val="24"/>
          <w:szCs w:val="24"/>
        </w:rPr>
        <w:t xml:space="preserve"> </w:t>
      </w:r>
      <w:r w:rsidRPr="00041A32">
        <w:rPr>
          <w:sz w:val="24"/>
          <w:szCs w:val="24"/>
        </w:rPr>
        <w:t>why or why not?</w:t>
      </w:r>
    </w:p>
    <w:p w14:paraId="4714FF39" w14:textId="77777777"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Does the City have codes?  Are they being enforced?</w:t>
      </w:r>
    </w:p>
    <w:p w14:paraId="0B901509" w14:textId="6AE2857F" w:rsidR="003B73C8" w:rsidRPr="00041A32"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A</w:t>
      </w:r>
      <w:r w:rsidR="002767AF" w:rsidRPr="00041A32">
        <w:rPr>
          <w:sz w:val="24"/>
          <w:szCs w:val="24"/>
        </w:rPr>
        <w:t>re there a</w:t>
      </w:r>
      <w:r w:rsidRPr="00041A32">
        <w:rPr>
          <w:sz w:val="24"/>
          <w:szCs w:val="24"/>
        </w:rPr>
        <w:t>ny environmental concerns?</w:t>
      </w:r>
    </w:p>
    <w:p w14:paraId="3183C041" w14:textId="2400B5E0" w:rsidR="003B73C8" w:rsidRDefault="003B73C8" w:rsidP="003B73C8">
      <w:pPr>
        <w:pStyle w:val="ListParagraph"/>
        <w:numPr>
          <w:ilvl w:val="0"/>
          <w:numId w:val="37"/>
        </w:numPr>
        <w:overflowPunct/>
        <w:autoSpaceDE/>
        <w:autoSpaceDN/>
        <w:adjustRightInd/>
        <w:ind w:left="630" w:hanging="270"/>
        <w:contextualSpacing/>
        <w:textAlignment w:val="auto"/>
        <w:rPr>
          <w:sz w:val="24"/>
          <w:szCs w:val="24"/>
        </w:rPr>
      </w:pPr>
      <w:r w:rsidRPr="00041A32">
        <w:rPr>
          <w:sz w:val="24"/>
          <w:szCs w:val="24"/>
        </w:rPr>
        <w:t>Anything else the city did in the project development</w:t>
      </w:r>
      <w:r w:rsidR="002767AF" w:rsidRPr="00041A32">
        <w:rPr>
          <w:sz w:val="24"/>
          <w:szCs w:val="24"/>
        </w:rPr>
        <w:t xml:space="preserve"> they would like to share?</w:t>
      </w:r>
    </w:p>
    <w:p w14:paraId="4A4E1EF4" w14:textId="77777777" w:rsidR="00CD06ED" w:rsidRPr="00041A32" w:rsidRDefault="00CD06ED" w:rsidP="00CD06ED">
      <w:pPr>
        <w:pStyle w:val="ListParagraph"/>
        <w:overflowPunct/>
        <w:autoSpaceDE/>
        <w:autoSpaceDN/>
        <w:adjustRightInd/>
        <w:ind w:left="630"/>
        <w:contextualSpacing/>
        <w:textAlignment w:val="auto"/>
        <w:rPr>
          <w:sz w:val="24"/>
          <w:szCs w:val="24"/>
        </w:rPr>
      </w:pPr>
    </w:p>
    <w:p w14:paraId="26734A1E" w14:textId="77777777" w:rsidR="003B73C8" w:rsidRPr="00041A32" w:rsidRDefault="003B73C8" w:rsidP="003B73C8">
      <w:pPr>
        <w:rPr>
          <w:sz w:val="24"/>
          <w:szCs w:val="24"/>
        </w:rPr>
      </w:pPr>
    </w:p>
    <w:p w14:paraId="578E77B1" w14:textId="77777777" w:rsidR="002654B6" w:rsidRPr="00041A32" w:rsidRDefault="003B73C8" w:rsidP="00CD06ED">
      <w:pPr>
        <w:pStyle w:val="ListParagraph"/>
        <w:numPr>
          <w:ilvl w:val="0"/>
          <w:numId w:val="34"/>
        </w:numPr>
        <w:overflowPunct/>
        <w:autoSpaceDE/>
        <w:autoSpaceDN/>
        <w:adjustRightInd/>
        <w:contextualSpacing/>
        <w:textAlignment w:val="auto"/>
        <w:rPr>
          <w:sz w:val="24"/>
          <w:szCs w:val="24"/>
        </w:rPr>
      </w:pPr>
      <w:r w:rsidRPr="00041A32">
        <w:rPr>
          <w:b/>
          <w:sz w:val="24"/>
          <w:szCs w:val="24"/>
        </w:rPr>
        <w:t>Solution of Need (25 points for narrative)</w:t>
      </w:r>
    </w:p>
    <w:p w14:paraId="6C4CCCC5" w14:textId="7E3F257F" w:rsidR="003B73C8" w:rsidRPr="00041A32" w:rsidRDefault="003B73C8" w:rsidP="00DA1E89">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Can the rehabilitation/demolition be completed in the 24-month time frame?</w:t>
      </w:r>
    </w:p>
    <w:p w14:paraId="5958A0B8" w14:textId="1D72C49F" w:rsidR="003B73C8" w:rsidRPr="00041A32" w:rsidRDefault="003B73C8" w:rsidP="003B73C8">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 xml:space="preserve">Does the applicant have contractors?  Who are the contractors?  Are these contractors also working </w:t>
      </w:r>
      <w:r w:rsidR="005A3146" w:rsidRPr="00041A32">
        <w:rPr>
          <w:sz w:val="24"/>
          <w:szCs w:val="24"/>
        </w:rPr>
        <w:t>on</w:t>
      </w:r>
      <w:r w:rsidRPr="00041A32">
        <w:rPr>
          <w:sz w:val="24"/>
          <w:szCs w:val="24"/>
        </w:rPr>
        <w:t xml:space="preserve"> other CDBG projects?</w:t>
      </w:r>
      <w:r w:rsidR="002767AF" w:rsidRPr="00041A32">
        <w:rPr>
          <w:sz w:val="24"/>
          <w:szCs w:val="24"/>
        </w:rPr>
        <w:t xml:space="preserve">  Does the contractor have required LBP and other licensing?</w:t>
      </w:r>
    </w:p>
    <w:p w14:paraId="381A9620" w14:textId="153D9463" w:rsidR="003B73C8" w:rsidRPr="00041A32" w:rsidRDefault="003B73C8" w:rsidP="003B73C8">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 xml:space="preserve">Does </w:t>
      </w:r>
      <w:r w:rsidR="005A3146" w:rsidRPr="00041A32">
        <w:rPr>
          <w:sz w:val="24"/>
          <w:szCs w:val="24"/>
        </w:rPr>
        <w:t xml:space="preserve">the </w:t>
      </w:r>
      <w:r w:rsidRPr="00041A32">
        <w:rPr>
          <w:sz w:val="24"/>
          <w:szCs w:val="24"/>
        </w:rPr>
        <w:t xml:space="preserve">applicant have all </w:t>
      </w:r>
      <w:r w:rsidR="000564B1">
        <w:rPr>
          <w:sz w:val="24"/>
          <w:szCs w:val="24"/>
        </w:rPr>
        <w:t xml:space="preserve">the </w:t>
      </w:r>
      <w:r w:rsidRPr="00041A32">
        <w:rPr>
          <w:sz w:val="24"/>
          <w:szCs w:val="24"/>
        </w:rPr>
        <w:t>necessary professionals to complete the project (administrator, inspector, risk assessor</w:t>
      </w:r>
      <w:r w:rsidR="002767AF" w:rsidRPr="00041A32">
        <w:rPr>
          <w:sz w:val="24"/>
          <w:szCs w:val="24"/>
        </w:rPr>
        <w:t>, radon testing abilities, asbestos inspectors</w:t>
      </w:r>
      <w:r w:rsidRPr="00041A32">
        <w:rPr>
          <w:sz w:val="24"/>
          <w:szCs w:val="24"/>
        </w:rPr>
        <w:t>)?</w:t>
      </w:r>
    </w:p>
    <w:p w14:paraId="6EFE16F3" w14:textId="77777777" w:rsidR="003B73C8" w:rsidRPr="00041A32" w:rsidRDefault="003B73C8" w:rsidP="003B73C8">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Who locally will be involved in collection applications?</w:t>
      </w:r>
    </w:p>
    <w:p w14:paraId="24C35380" w14:textId="77777777" w:rsidR="003B73C8" w:rsidRPr="00041A32" w:rsidRDefault="003B73C8" w:rsidP="003B73C8">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Will the applicant council/commission locally run the program, or will a housing board be appointed?</w:t>
      </w:r>
    </w:p>
    <w:p w14:paraId="74672CA4" w14:textId="77777777" w:rsidR="003B73C8" w:rsidRPr="00041A32" w:rsidRDefault="003B73C8" w:rsidP="003B73C8">
      <w:pPr>
        <w:pStyle w:val="ListParagraph"/>
        <w:numPr>
          <w:ilvl w:val="0"/>
          <w:numId w:val="36"/>
        </w:numPr>
        <w:overflowPunct/>
        <w:autoSpaceDE/>
        <w:autoSpaceDN/>
        <w:adjustRightInd/>
        <w:ind w:left="630" w:hanging="270"/>
        <w:contextualSpacing/>
        <w:textAlignment w:val="auto"/>
        <w:rPr>
          <w:sz w:val="24"/>
          <w:szCs w:val="24"/>
        </w:rPr>
      </w:pPr>
      <w:r w:rsidRPr="00041A32">
        <w:rPr>
          <w:sz w:val="24"/>
          <w:szCs w:val="24"/>
        </w:rPr>
        <w:t>How does the scope of work solve the city’s needs?</w:t>
      </w:r>
    </w:p>
    <w:p w14:paraId="352872EF" w14:textId="77777777" w:rsidR="003B73C8" w:rsidRPr="00041A32" w:rsidRDefault="003B73C8" w:rsidP="003B73C8">
      <w:pPr>
        <w:rPr>
          <w:sz w:val="24"/>
          <w:szCs w:val="24"/>
        </w:rPr>
      </w:pPr>
    </w:p>
    <w:p w14:paraId="6BCE0F44" w14:textId="5F0E0B58" w:rsidR="003B73C8" w:rsidRPr="00041A32" w:rsidRDefault="003B73C8" w:rsidP="003B73C8">
      <w:pPr>
        <w:pStyle w:val="ListParagraph"/>
        <w:numPr>
          <w:ilvl w:val="0"/>
          <w:numId w:val="34"/>
        </w:numPr>
        <w:overflowPunct/>
        <w:autoSpaceDE/>
        <w:autoSpaceDN/>
        <w:adjustRightInd/>
        <w:contextualSpacing/>
        <w:textAlignment w:val="auto"/>
        <w:rPr>
          <w:b/>
          <w:sz w:val="24"/>
          <w:szCs w:val="24"/>
        </w:rPr>
      </w:pPr>
      <w:r w:rsidRPr="00041A32">
        <w:rPr>
          <w:b/>
          <w:sz w:val="24"/>
          <w:szCs w:val="24"/>
        </w:rPr>
        <w:t>Target Area</w:t>
      </w:r>
      <w:r w:rsidR="002767AF" w:rsidRPr="00041A32">
        <w:rPr>
          <w:b/>
          <w:sz w:val="24"/>
          <w:szCs w:val="24"/>
        </w:rPr>
        <w:t xml:space="preserve">, </w:t>
      </w:r>
      <w:r w:rsidRPr="00041A32">
        <w:rPr>
          <w:b/>
          <w:sz w:val="24"/>
          <w:szCs w:val="24"/>
        </w:rPr>
        <w:t>housing log</w:t>
      </w:r>
      <w:r w:rsidR="002767AF" w:rsidRPr="00041A32">
        <w:rPr>
          <w:b/>
          <w:sz w:val="24"/>
          <w:szCs w:val="24"/>
        </w:rPr>
        <w:t xml:space="preserve">, and public </w:t>
      </w:r>
      <w:r w:rsidR="00F27210" w:rsidRPr="00041A32">
        <w:rPr>
          <w:b/>
          <w:sz w:val="24"/>
          <w:szCs w:val="24"/>
        </w:rPr>
        <w:t>interest</w:t>
      </w:r>
      <w:r w:rsidRPr="00041A32">
        <w:rPr>
          <w:b/>
          <w:sz w:val="24"/>
          <w:szCs w:val="24"/>
        </w:rPr>
        <w:t xml:space="preserve"> will be used to assess pre-applications vs proposal (35 points for narrative</w:t>
      </w:r>
      <w:r w:rsidR="002767AF" w:rsidRPr="00041A32">
        <w:rPr>
          <w:b/>
          <w:sz w:val="24"/>
          <w:szCs w:val="24"/>
        </w:rPr>
        <w:t>, maps, and housing log</w:t>
      </w:r>
      <w:r w:rsidRPr="00041A32">
        <w:rPr>
          <w:b/>
          <w:sz w:val="24"/>
          <w:szCs w:val="24"/>
        </w:rPr>
        <w:t xml:space="preserve">) </w:t>
      </w:r>
    </w:p>
    <w:p w14:paraId="5B2C98BD" w14:textId="77777777" w:rsidR="003B73C8" w:rsidRPr="00041A32" w:rsidRDefault="003B73C8" w:rsidP="003B73C8">
      <w:pPr>
        <w:rPr>
          <w:sz w:val="24"/>
          <w:szCs w:val="24"/>
        </w:rPr>
      </w:pPr>
    </w:p>
    <w:p w14:paraId="58EC805F" w14:textId="018EBCD5" w:rsidR="003B73C8" w:rsidRPr="00041A32" w:rsidRDefault="003B73C8" w:rsidP="003B73C8">
      <w:pPr>
        <w:ind w:left="360"/>
        <w:rPr>
          <w:sz w:val="24"/>
          <w:szCs w:val="24"/>
        </w:rPr>
      </w:pPr>
      <w:r w:rsidRPr="00041A32">
        <w:rPr>
          <w:sz w:val="24"/>
          <w:szCs w:val="24"/>
        </w:rPr>
        <w:t xml:space="preserve">Provide two </w:t>
      </w:r>
      <w:r w:rsidR="00F27210" w:rsidRPr="00041A32">
        <w:rPr>
          <w:sz w:val="24"/>
          <w:szCs w:val="24"/>
        </w:rPr>
        <w:t xml:space="preserve">or three </w:t>
      </w:r>
      <w:r w:rsidRPr="00041A32">
        <w:rPr>
          <w:sz w:val="24"/>
          <w:szCs w:val="24"/>
        </w:rPr>
        <w:t>legible and accurate maps:</w:t>
      </w:r>
    </w:p>
    <w:p w14:paraId="0405A411" w14:textId="77777777"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One will illustrate the target area in relationship to the entire community</w:t>
      </w:r>
    </w:p>
    <w:p w14:paraId="6773D4B3" w14:textId="4317D738"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The second map will identify houses proposed within the target area.</w:t>
      </w:r>
    </w:p>
    <w:p w14:paraId="675DEF12" w14:textId="45E837D4" w:rsidR="000E1A1D" w:rsidRPr="00041A32" w:rsidRDefault="00F27210" w:rsidP="002225BD">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If an ND, there must be a map of the target area supporting the LMI Survey</w:t>
      </w:r>
    </w:p>
    <w:p w14:paraId="75DD3A70" w14:textId="77777777" w:rsidR="00F27210" w:rsidRPr="00041A32" w:rsidRDefault="00F27210" w:rsidP="000E1A1D">
      <w:pPr>
        <w:pStyle w:val="ListParagraph"/>
        <w:overflowPunct/>
        <w:autoSpaceDE/>
        <w:autoSpaceDN/>
        <w:adjustRightInd/>
        <w:ind w:left="630"/>
        <w:contextualSpacing/>
        <w:textAlignment w:val="auto"/>
        <w:rPr>
          <w:sz w:val="24"/>
          <w:szCs w:val="24"/>
        </w:rPr>
      </w:pPr>
    </w:p>
    <w:p w14:paraId="61B3BD87" w14:textId="77777777" w:rsidR="003B73C8" w:rsidRPr="00041A32" w:rsidRDefault="003B73C8" w:rsidP="003B73C8">
      <w:pPr>
        <w:ind w:left="360"/>
        <w:rPr>
          <w:sz w:val="24"/>
          <w:szCs w:val="24"/>
        </w:rPr>
      </w:pPr>
      <w:r w:rsidRPr="00041A32">
        <w:rPr>
          <w:sz w:val="24"/>
          <w:szCs w:val="24"/>
        </w:rPr>
        <w:t>Narrative:</w:t>
      </w:r>
    </w:p>
    <w:p w14:paraId="477AD077" w14:textId="36751493"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 xml:space="preserve">How </w:t>
      </w:r>
      <w:r w:rsidR="00F86FE3" w:rsidRPr="00041A32">
        <w:rPr>
          <w:sz w:val="24"/>
          <w:szCs w:val="24"/>
        </w:rPr>
        <w:t>w</w:t>
      </w:r>
      <w:r w:rsidR="002767AF" w:rsidRPr="00041A32">
        <w:rPr>
          <w:sz w:val="24"/>
          <w:szCs w:val="24"/>
        </w:rPr>
        <w:t>as</w:t>
      </w:r>
      <w:r w:rsidRPr="00041A32">
        <w:rPr>
          <w:sz w:val="24"/>
          <w:szCs w:val="24"/>
        </w:rPr>
        <w:t xml:space="preserve"> </w:t>
      </w:r>
      <w:r w:rsidR="005A3146" w:rsidRPr="00041A32">
        <w:rPr>
          <w:sz w:val="24"/>
          <w:szCs w:val="24"/>
        </w:rPr>
        <w:t xml:space="preserve">the </w:t>
      </w:r>
      <w:r w:rsidR="002767AF" w:rsidRPr="00041A32">
        <w:rPr>
          <w:sz w:val="24"/>
          <w:szCs w:val="24"/>
        </w:rPr>
        <w:t>target area</w:t>
      </w:r>
      <w:r w:rsidRPr="00041A32">
        <w:rPr>
          <w:sz w:val="24"/>
          <w:szCs w:val="24"/>
        </w:rPr>
        <w:t xml:space="preserve"> determined</w:t>
      </w:r>
      <w:r w:rsidR="002767AF" w:rsidRPr="00041A32">
        <w:rPr>
          <w:sz w:val="24"/>
          <w:szCs w:val="24"/>
        </w:rPr>
        <w:t>?</w:t>
      </w:r>
    </w:p>
    <w:p w14:paraId="4D9C38B3" w14:textId="77777777"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Is the target area small enough to show impact?</w:t>
      </w:r>
    </w:p>
    <w:p w14:paraId="7D381233" w14:textId="77777777"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How was the target area designed?</w:t>
      </w:r>
    </w:p>
    <w:p w14:paraId="6B1F334C" w14:textId="77777777" w:rsidR="003B73C8" w:rsidRPr="00041A32" w:rsidRDefault="003B73C8" w:rsidP="003B73C8">
      <w:pPr>
        <w:pStyle w:val="ListParagraph"/>
        <w:numPr>
          <w:ilvl w:val="0"/>
          <w:numId w:val="38"/>
        </w:numPr>
        <w:overflowPunct/>
        <w:autoSpaceDE/>
        <w:autoSpaceDN/>
        <w:adjustRightInd/>
        <w:ind w:left="630" w:hanging="270"/>
        <w:contextualSpacing/>
        <w:textAlignment w:val="auto"/>
        <w:rPr>
          <w:sz w:val="24"/>
          <w:szCs w:val="24"/>
        </w:rPr>
      </w:pPr>
      <w:r w:rsidRPr="00041A32">
        <w:rPr>
          <w:sz w:val="24"/>
          <w:szCs w:val="24"/>
        </w:rPr>
        <w:t>Is the public interested?  Are homeowners interested and willing to participate?</w:t>
      </w:r>
    </w:p>
    <w:p w14:paraId="26FFE5B8" w14:textId="60DF077A" w:rsidR="003B73C8" w:rsidRPr="00041A32" w:rsidRDefault="003B73C8" w:rsidP="000E1A1D">
      <w:pPr>
        <w:pStyle w:val="BodyText"/>
        <w:numPr>
          <w:ilvl w:val="0"/>
          <w:numId w:val="38"/>
        </w:numPr>
        <w:jc w:val="left"/>
        <w:rPr>
          <w:szCs w:val="24"/>
        </w:rPr>
      </w:pPr>
      <w:r w:rsidRPr="00041A32">
        <w:rPr>
          <w:szCs w:val="24"/>
        </w:rPr>
        <w:t>Is there enough interest to complete the scope</w:t>
      </w:r>
      <w:r w:rsidR="002767AF" w:rsidRPr="00041A32">
        <w:rPr>
          <w:szCs w:val="24"/>
        </w:rPr>
        <w:t xml:space="preserve"> of work</w:t>
      </w:r>
      <w:r w:rsidRPr="00041A32">
        <w:rPr>
          <w:szCs w:val="24"/>
        </w:rPr>
        <w:t xml:space="preserve">?  Explain </w:t>
      </w:r>
      <w:r w:rsidR="005A3146" w:rsidRPr="00041A32">
        <w:rPr>
          <w:szCs w:val="24"/>
        </w:rPr>
        <w:t xml:space="preserve">the </w:t>
      </w:r>
      <w:r w:rsidRPr="00041A32">
        <w:rPr>
          <w:szCs w:val="24"/>
        </w:rPr>
        <w:t xml:space="preserve">number of properties to be completed (rehabilitation and demolition) </w:t>
      </w:r>
      <w:r w:rsidR="006A6C90" w:rsidRPr="00041A32">
        <w:rPr>
          <w:szCs w:val="24"/>
        </w:rPr>
        <w:t>and</w:t>
      </w:r>
      <w:r w:rsidRPr="00041A32">
        <w:rPr>
          <w:szCs w:val="24"/>
        </w:rPr>
        <w:t xml:space="preserve"> </w:t>
      </w:r>
      <w:r w:rsidR="006A6C90" w:rsidRPr="00041A32">
        <w:rPr>
          <w:szCs w:val="24"/>
        </w:rPr>
        <w:t xml:space="preserve">the </w:t>
      </w:r>
      <w:r w:rsidRPr="00041A32">
        <w:rPr>
          <w:szCs w:val="24"/>
        </w:rPr>
        <w:t>level of assistance.</w:t>
      </w:r>
    </w:p>
    <w:p w14:paraId="421C881B" w14:textId="77777777" w:rsidR="003B73C8" w:rsidRPr="00041A32" w:rsidRDefault="003B73C8" w:rsidP="003B73C8">
      <w:pPr>
        <w:rPr>
          <w:sz w:val="24"/>
          <w:szCs w:val="24"/>
        </w:rPr>
      </w:pPr>
    </w:p>
    <w:p w14:paraId="2018774E" w14:textId="2F5A84F1" w:rsidR="00FE5824" w:rsidRPr="00041A32" w:rsidRDefault="003B73C8" w:rsidP="0015580B">
      <w:pPr>
        <w:pStyle w:val="ListParagraph"/>
        <w:numPr>
          <w:ilvl w:val="0"/>
          <w:numId w:val="34"/>
        </w:numPr>
        <w:overflowPunct/>
        <w:autoSpaceDE/>
        <w:autoSpaceDN/>
        <w:adjustRightInd/>
        <w:contextualSpacing/>
        <w:textAlignment w:val="auto"/>
        <w:rPr>
          <w:b/>
          <w:sz w:val="24"/>
          <w:szCs w:val="24"/>
        </w:rPr>
      </w:pPr>
      <w:r w:rsidRPr="00041A32">
        <w:rPr>
          <w:b/>
          <w:sz w:val="24"/>
          <w:szCs w:val="24"/>
        </w:rPr>
        <w:t>The following additional points will be added to the Neighborhood Development category of applications</w:t>
      </w:r>
      <w:r w:rsidR="00FE5824" w:rsidRPr="00041A32">
        <w:rPr>
          <w:b/>
          <w:sz w:val="24"/>
          <w:szCs w:val="24"/>
        </w:rPr>
        <w:t>:</w:t>
      </w:r>
    </w:p>
    <w:p w14:paraId="60106DC3" w14:textId="77777777" w:rsidR="003B73C8" w:rsidRPr="00041A32" w:rsidRDefault="003B73C8" w:rsidP="003B73C8">
      <w:pPr>
        <w:rPr>
          <w:sz w:val="24"/>
          <w:szCs w:val="24"/>
        </w:rPr>
      </w:pPr>
    </w:p>
    <w:p w14:paraId="1E47541E" w14:textId="2F721F65" w:rsidR="00FE5824" w:rsidRPr="00041A32" w:rsidRDefault="003B73C8" w:rsidP="00CB4120">
      <w:pPr>
        <w:pStyle w:val="ListParagraph"/>
        <w:ind w:left="360" w:right="-144"/>
        <w:rPr>
          <w:sz w:val="24"/>
          <w:szCs w:val="24"/>
        </w:rPr>
      </w:pPr>
      <w:r w:rsidRPr="00041A32">
        <w:rPr>
          <w:b/>
          <w:bCs/>
          <w:sz w:val="24"/>
          <w:szCs w:val="24"/>
          <w:u w:val="single"/>
        </w:rPr>
        <w:t>Need &amp; Solution for Infrastructure (25 points for narrative)</w:t>
      </w:r>
      <w:r w:rsidRPr="00041A32">
        <w:rPr>
          <w:sz w:val="24"/>
          <w:szCs w:val="24"/>
        </w:rPr>
        <w:t xml:space="preserve">  </w:t>
      </w:r>
    </w:p>
    <w:p w14:paraId="3B284864" w14:textId="74C25208" w:rsidR="003B73C8" w:rsidRPr="00041A32" w:rsidRDefault="003B73C8" w:rsidP="00CB4120">
      <w:pPr>
        <w:pStyle w:val="ListParagraph"/>
        <w:ind w:left="360" w:right="-144"/>
        <w:rPr>
          <w:sz w:val="24"/>
          <w:szCs w:val="24"/>
        </w:rPr>
      </w:pPr>
      <w:r w:rsidRPr="00041A32">
        <w:rPr>
          <w:sz w:val="24"/>
          <w:szCs w:val="24"/>
        </w:rPr>
        <w:t xml:space="preserve">Points will be awarded </w:t>
      </w:r>
      <w:r w:rsidR="005A3146" w:rsidRPr="00041A32">
        <w:rPr>
          <w:sz w:val="24"/>
          <w:szCs w:val="24"/>
        </w:rPr>
        <w:t>based on</w:t>
      </w:r>
      <w:r w:rsidRPr="00041A32">
        <w:rPr>
          <w:sz w:val="24"/>
          <w:szCs w:val="24"/>
        </w:rPr>
        <w:t xml:space="preserve"> the “need” of the public facilities activities, the intensity and urgency of the need, the frequency </w:t>
      </w:r>
      <w:r w:rsidR="000564B1">
        <w:rPr>
          <w:sz w:val="24"/>
          <w:szCs w:val="24"/>
        </w:rPr>
        <w:t xml:space="preserve">at which </w:t>
      </w:r>
      <w:r w:rsidRPr="00041A32">
        <w:rPr>
          <w:sz w:val="24"/>
          <w:szCs w:val="24"/>
        </w:rPr>
        <w:t xml:space="preserve">the need occurs, economic considerations due to the need, and </w:t>
      </w:r>
      <w:r w:rsidR="00FE5824" w:rsidRPr="00041A32">
        <w:rPr>
          <w:sz w:val="24"/>
          <w:szCs w:val="24"/>
        </w:rPr>
        <w:t xml:space="preserve">the </w:t>
      </w:r>
      <w:r w:rsidRPr="00041A32">
        <w:rPr>
          <w:sz w:val="24"/>
          <w:szCs w:val="24"/>
        </w:rPr>
        <w:t>concentration of persons within the area affected by the need.  Other factors to be considered are property damage, health</w:t>
      </w:r>
      <w:r w:rsidR="00F86FE3" w:rsidRPr="00041A32">
        <w:rPr>
          <w:sz w:val="24"/>
          <w:szCs w:val="24"/>
        </w:rPr>
        <w:t>,</w:t>
      </w:r>
      <w:r w:rsidRPr="00041A32">
        <w:rPr>
          <w:sz w:val="24"/>
          <w:szCs w:val="24"/>
        </w:rPr>
        <w:t xml:space="preserve"> </w:t>
      </w:r>
      <w:r w:rsidR="000E1A1D" w:rsidRPr="00041A32">
        <w:rPr>
          <w:sz w:val="24"/>
          <w:szCs w:val="24"/>
        </w:rPr>
        <w:t>and</w:t>
      </w:r>
      <w:r w:rsidR="00F86FE3" w:rsidRPr="00041A32">
        <w:rPr>
          <w:sz w:val="24"/>
          <w:szCs w:val="24"/>
        </w:rPr>
        <w:t xml:space="preserve"> safety</w:t>
      </w:r>
      <w:r w:rsidRPr="00041A32">
        <w:rPr>
          <w:sz w:val="24"/>
          <w:szCs w:val="24"/>
        </w:rPr>
        <w:t xml:space="preserve">, environmental damage, inadequate facilities/services commonly provided for existing residents, cultural, recreational, aesthetic, and inadequate facilities for potential growth.  </w:t>
      </w:r>
      <w:r w:rsidR="005A3146" w:rsidRPr="00041A32">
        <w:rPr>
          <w:sz w:val="24"/>
          <w:szCs w:val="24"/>
        </w:rPr>
        <w:t>The total</w:t>
      </w:r>
      <w:r w:rsidRPr="00041A32">
        <w:rPr>
          <w:sz w:val="24"/>
          <w:szCs w:val="24"/>
        </w:rPr>
        <w:t xml:space="preserve"> will include the degree to which all significant public facility needs in the target area are being addressed by the project.</w:t>
      </w:r>
    </w:p>
    <w:p w14:paraId="5DC88847" w14:textId="77777777" w:rsidR="005A3146" w:rsidRPr="00041A32" w:rsidRDefault="005A3146" w:rsidP="00CB4120">
      <w:pPr>
        <w:pStyle w:val="ListParagraph"/>
        <w:ind w:left="0"/>
        <w:rPr>
          <w:sz w:val="24"/>
          <w:szCs w:val="24"/>
        </w:rPr>
      </w:pPr>
    </w:p>
    <w:p w14:paraId="3228E835" w14:textId="77777777" w:rsidR="001856FB" w:rsidRPr="00041A32" w:rsidRDefault="001856FB" w:rsidP="003C6EF5">
      <w:pPr>
        <w:jc w:val="both"/>
        <w:rPr>
          <w:sz w:val="24"/>
          <w:szCs w:val="24"/>
        </w:rPr>
      </w:pPr>
    </w:p>
    <w:sectPr w:rsidR="001856FB" w:rsidRPr="00041A32" w:rsidSect="00CB4120">
      <w:pgSz w:w="12240" w:h="15840"/>
      <w:pgMar w:top="1152" w:right="1008" w:bottom="115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A90B" w14:textId="77777777" w:rsidR="004244AC" w:rsidRDefault="004244AC">
      <w:r>
        <w:separator/>
      </w:r>
    </w:p>
  </w:endnote>
  <w:endnote w:type="continuationSeparator" w:id="0">
    <w:p w14:paraId="0ECA590B" w14:textId="77777777" w:rsidR="004244AC" w:rsidRDefault="0042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2674" w14:textId="77777777" w:rsidR="004244AC" w:rsidRDefault="004244AC">
      <w:r>
        <w:separator/>
      </w:r>
    </w:p>
  </w:footnote>
  <w:footnote w:type="continuationSeparator" w:id="0">
    <w:p w14:paraId="0FAAEED5" w14:textId="77777777" w:rsidR="004244AC" w:rsidRDefault="0042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6" w:hanging="362"/>
      </w:pPr>
      <w:rPr>
        <w:rFonts w:ascii="Times New Roman" w:hAnsi="Times New Roman" w:cs="Times New Roman"/>
        <w:b w:val="0"/>
        <w:bCs w:val="0"/>
        <w:w w:val="108"/>
        <w:sz w:val="23"/>
        <w:szCs w:val="23"/>
      </w:rPr>
    </w:lvl>
    <w:lvl w:ilvl="1">
      <w:numFmt w:val="bullet"/>
      <w:lvlText w:val="•"/>
      <w:lvlJc w:val="left"/>
      <w:pPr>
        <w:ind w:left="1756" w:hanging="362"/>
      </w:pPr>
    </w:lvl>
    <w:lvl w:ilvl="2">
      <w:numFmt w:val="bullet"/>
      <w:lvlText w:val="•"/>
      <w:lvlJc w:val="left"/>
      <w:pPr>
        <w:ind w:left="2672" w:hanging="362"/>
      </w:pPr>
    </w:lvl>
    <w:lvl w:ilvl="3">
      <w:numFmt w:val="bullet"/>
      <w:lvlText w:val="•"/>
      <w:lvlJc w:val="left"/>
      <w:pPr>
        <w:ind w:left="3588" w:hanging="362"/>
      </w:pPr>
    </w:lvl>
    <w:lvl w:ilvl="4">
      <w:numFmt w:val="bullet"/>
      <w:lvlText w:val="•"/>
      <w:lvlJc w:val="left"/>
      <w:pPr>
        <w:ind w:left="4504" w:hanging="362"/>
      </w:pPr>
    </w:lvl>
    <w:lvl w:ilvl="5">
      <w:numFmt w:val="bullet"/>
      <w:lvlText w:val="•"/>
      <w:lvlJc w:val="left"/>
      <w:pPr>
        <w:ind w:left="5420" w:hanging="362"/>
      </w:pPr>
    </w:lvl>
    <w:lvl w:ilvl="6">
      <w:numFmt w:val="bullet"/>
      <w:lvlText w:val="•"/>
      <w:lvlJc w:val="left"/>
      <w:pPr>
        <w:ind w:left="6336" w:hanging="362"/>
      </w:pPr>
    </w:lvl>
    <w:lvl w:ilvl="7">
      <w:numFmt w:val="bullet"/>
      <w:lvlText w:val="•"/>
      <w:lvlJc w:val="left"/>
      <w:pPr>
        <w:ind w:left="7252" w:hanging="362"/>
      </w:pPr>
    </w:lvl>
    <w:lvl w:ilvl="8">
      <w:numFmt w:val="bullet"/>
      <w:lvlText w:val="•"/>
      <w:lvlJc w:val="left"/>
      <w:pPr>
        <w:ind w:left="8168" w:hanging="362"/>
      </w:pPr>
    </w:lvl>
  </w:abstractNum>
  <w:abstractNum w:abstractNumId="1" w15:restartNumberingAfterBreak="0">
    <w:nsid w:val="01E31FA0"/>
    <w:multiLevelType w:val="hybridMultilevel"/>
    <w:tmpl w:val="2844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04D"/>
    <w:multiLevelType w:val="hybridMultilevel"/>
    <w:tmpl w:val="9E52607C"/>
    <w:lvl w:ilvl="0" w:tplc="0409000B">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39B0516"/>
    <w:multiLevelType w:val="hybridMultilevel"/>
    <w:tmpl w:val="EB7C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76EBC"/>
    <w:multiLevelType w:val="hybridMultilevel"/>
    <w:tmpl w:val="26888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F42D1"/>
    <w:multiLevelType w:val="hybridMultilevel"/>
    <w:tmpl w:val="5B484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4A5A20"/>
    <w:multiLevelType w:val="hybridMultilevel"/>
    <w:tmpl w:val="22F43F48"/>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5556D"/>
    <w:multiLevelType w:val="hybridMultilevel"/>
    <w:tmpl w:val="28FA8306"/>
    <w:lvl w:ilvl="0" w:tplc="A0FEB46C">
      <w:start w:val="1"/>
      <w:numFmt w:val="decimal"/>
      <w:lvlText w:val="%1."/>
      <w:lvlJc w:val="left"/>
      <w:pPr>
        <w:ind w:left="90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6E95"/>
    <w:multiLevelType w:val="hybridMultilevel"/>
    <w:tmpl w:val="4DBA6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AF54D6"/>
    <w:multiLevelType w:val="hybridMultilevel"/>
    <w:tmpl w:val="389C2036"/>
    <w:lvl w:ilvl="0" w:tplc="6B3A0E4E">
      <w:start w:val="11"/>
      <w:numFmt w:val="decimal"/>
      <w:lvlText w:val="%1."/>
      <w:lvlJc w:val="left"/>
      <w:pPr>
        <w:tabs>
          <w:tab w:val="num" w:pos="1320"/>
        </w:tabs>
        <w:ind w:left="1320" w:hanging="4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1B4146AB"/>
    <w:multiLevelType w:val="hybridMultilevel"/>
    <w:tmpl w:val="B4FC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52E42"/>
    <w:multiLevelType w:val="hybridMultilevel"/>
    <w:tmpl w:val="8CE48546"/>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1FDB4B04"/>
    <w:multiLevelType w:val="hybridMultilevel"/>
    <w:tmpl w:val="1312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F0537"/>
    <w:multiLevelType w:val="hybridMultilevel"/>
    <w:tmpl w:val="38428DF2"/>
    <w:lvl w:ilvl="0" w:tplc="5FA84B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B412D9"/>
    <w:multiLevelType w:val="hybridMultilevel"/>
    <w:tmpl w:val="DF10ECC2"/>
    <w:lvl w:ilvl="0" w:tplc="692C3EC4">
      <w:start w:val="1"/>
      <w:numFmt w:val="bullet"/>
      <w:lvlText w:val=""/>
      <w:lvlJc w:val="left"/>
      <w:pPr>
        <w:tabs>
          <w:tab w:val="num" w:pos="900"/>
        </w:tabs>
        <w:ind w:left="900" w:hanging="360"/>
      </w:pPr>
      <w:rPr>
        <w:rFonts w:ascii="Wingdings" w:hAnsi="Wingdings" w:hint="default"/>
      </w:rPr>
    </w:lvl>
    <w:lvl w:ilvl="1" w:tplc="95928778">
      <w:start w:val="8"/>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32B5FEB"/>
    <w:multiLevelType w:val="hybridMultilevel"/>
    <w:tmpl w:val="0FA45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CF3740"/>
    <w:multiLevelType w:val="hybridMultilevel"/>
    <w:tmpl w:val="A66AC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5432A"/>
    <w:multiLevelType w:val="hybridMultilevel"/>
    <w:tmpl w:val="EC8A0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93152E"/>
    <w:multiLevelType w:val="hybridMultilevel"/>
    <w:tmpl w:val="A0CAE2F8"/>
    <w:lvl w:ilvl="0" w:tplc="5E0206A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F2977"/>
    <w:multiLevelType w:val="hybridMultilevel"/>
    <w:tmpl w:val="006A6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C849CE"/>
    <w:multiLevelType w:val="hybridMultilevel"/>
    <w:tmpl w:val="DF10ECC2"/>
    <w:lvl w:ilvl="0" w:tplc="0409000B">
      <w:start w:val="1"/>
      <w:numFmt w:val="bullet"/>
      <w:lvlText w:val=""/>
      <w:lvlJc w:val="left"/>
      <w:pPr>
        <w:tabs>
          <w:tab w:val="num" w:pos="900"/>
        </w:tabs>
        <w:ind w:left="900" w:hanging="360"/>
      </w:pPr>
      <w:rPr>
        <w:rFonts w:ascii="Wingdings" w:hAnsi="Wingdings" w:hint="default"/>
      </w:rPr>
    </w:lvl>
    <w:lvl w:ilvl="1" w:tplc="95928778">
      <w:start w:val="8"/>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6F0557A"/>
    <w:multiLevelType w:val="hybridMultilevel"/>
    <w:tmpl w:val="E3A602BE"/>
    <w:lvl w:ilvl="0" w:tplc="C57A8D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86373BD"/>
    <w:multiLevelType w:val="hybridMultilevel"/>
    <w:tmpl w:val="04C0A6C6"/>
    <w:lvl w:ilvl="0" w:tplc="6A3053A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1D3010"/>
    <w:multiLevelType w:val="hybridMultilevel"/>
    <w:tmpl w:val="3D7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F3B9F"/>
    <w:multiLevelType w:val="hybridMultilevel"/>
    <w:tmpl w:val="FE5240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9A4A38"/>
    <w:multiLevelType w:val="hybridMultilevel"/>
    <w:tmpl w:val="DB3A0312"/>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D16FE"/>
    <w:multiLevelType w:val="hybridMultilevel"/>
    <w:tmpl w:val="9500A00E"/>
    <w:lvl w:ilvl="0" w:tplc="451E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A470B"/>
    <w:multiLevelType w:val="hybridMultilevel"/>
    <w:tmpl w:val="68C4A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452D1B"/>
    <w:multiLevelType w:val="hybridMultilevel"/>
    <w:tmpl w:val="544C46B8"/>
    <w:lvl w:ilvl="0" w:tplc="6BE2139E">
      <w:start w:val="1"/>
      <w:numFmt w:val="decimal"/>
      <w:lvlText w:val="%1."/>
      <w:lvlJc w:val="left"/>
      <w:pPr>
        <w:ind w:left="340" w:hanging="221"/>
      </w:pPr>
      <w:rPr>
        <w:rFonts w:ascii="Calibri" w:eastAsia="Calibri" w:hAnsi="Calibri" w:cs="Calibri" w:hint="default"/>
        <w:b/>
        <w:bCs/>
        <w:i w:val="0"/>
        <w:iCs w:val="0"/>
        <w:w w:val="100"/>
        <w:sz w:val="22"/>
        <w:szCs w:val="22"/>
        <w:lang w:val="en-US" w:eastAsia="en-US" w:bidi="ar-SA"/>
      </w:rPr>
    </w:lvl>
    <w:lvl w:ilvl="1" w:tplc="10A60394">
      <w:start w:val="1"/>
      <w:numFmt w:val="lowerLetter"/>
      <w:lvlText w:val="%2)"/>
      <w:lvlJc w:val="left"/>
      <w:pPr>
        <w:ind w:left="840" w:hanging="360"/>
      </w:pPr>
      <w:rPr>
        <w:rFonts w:ascii="Calibri" w:eastAsia="Calibri" w:hAnsi="Calibri" w:cs="Calibri" w:hint="default"/>
        <w:b w:val="0"/>
        <w:bCs w:val="0"/>
        <w:i w:val="0"/>
        <w:iCs w:val="0"/>
        <w:spacing w:val="-1"/>
        <w:w w:val="100"/>
        <w:sz w:val="22"/>
        <w:szCs w:val="22"/>
        <w:lang w:val="en-US" w:eastAsia="en-US" w:bidi="ar-SA"/>
      </w:rPr>
    </w:lvl>
    <w:lvl w:ilvl="2" w:tplc="9738DDA8">
      <w:start w:val="1"/>
      <w:numFmt w:val="lowerRoman"/>
      <w:lvlText w:val="%3)"/>
      <w:lvlJc w:val="left"/>
      <w:pPr>
        <w:ind w:left="1920" w:hanging="360"/>
      </w:pPr>
      <w:rPr>
        <w:rFonts w:ascii="Calibri" w:eastAsia="Calibri" w:hAnsi="Calibri" w:cs="Calibri" w:hint="default"/>
        <w:b w:val="0"/>
        <w:bCs w:val="0"/>
        <w:i w:val="0"/>
        <w:iCs w:val="0"/>
        <w:spacing w:val="-1"/>
        <w:w w:val="100"/>
        <w:sz w:val="22"/>
        <w:szCs w:val="22"/>
        <w:lang w:val="en-US" w:eastAsia="en-US" w:bidi="ar-SA"/>
      </w:rPr>
    </w:lvl>
    <w:lvl w:ilvl="3" w:tplc="1FB4C324">
      <w:numFmt w:val="bullet"/>
      <w:lvlText w:val="•"/>
      <w:lvlJc w:val="left"/>
      <w:pPr>
        <w:ind w:left="1920" w:hanging="360"/>
      </w:pPr>
      <w:rPr>
        <w:rFonts w:hint="default"/>
        <w:lang w:val="en-US" w:eastAsia="en-US" w:bidi="ar-SA"/>
      </w:rPr>
    </w:lvl>
    <w:lvl w:ilvl="4" w:tplc="DD966C6E">
      <w:numFmt w:val="bullet"/>
      <w:lvlText w:val="•"/>
      <w:lvlJc w:val="left"/>
      <w:pPr>
        <w:ind w:left="3140" w:hanging="360"/>
      </w:pPr>
      <w:rPr>
        <w:rFonts w:hint="default"/>
        <w:lang w:val="en-US" w:eastAsia="en-US" w:bidi="ar-SA"/>
      </w:rPr>
    </w:lvl>
    <w:lvl w:ilvl="5" w:tplc="5B100B44">
      <w:numFmt w:val="bullet"/>
      <w:lvlText w:val="•"/>
      <w:lvlJc w:val="left"/>
      <w:pPr>
        <w:ind w:left="4360" w:hanging="360"/>
      </w:pPr>
      <w:rPr>
        <w:rFonts w:hint="default"/>
        <w:lang w:val="en-US" w:eastAsia="en-US" w:bidi="ar-SA"/>
      </w:rPr>
    </w:lvl>
    <w:lvl w:ilvl="6" w:tplc="8152A35C">
      <w:numFmt w:val="bullet"/>
      <w:lvlText w:val="•"/>
      <w:lvlJc w:val="left"/>
      <w:pPr>
        <w:ind w:left="5580" w:hanging="360"/>
      </w:pPr>
      <w:rPr>
        <w:rFonts w:hint="default"/>
        <w:lang w:val="en-US" w:eastAsia="en-US" w:bidi="ar-SA"/>
      </w:rPr>
    </w:lvl>
    <w:lvl w:ilvl="7" w:tplc="75968552">
      <w:numFmt w:val="bullet"/>
      <w:lvlText w:val="•"/>
      <w:lvlJc w:val="left"/>
      <w:pPr>
        <w:ind w:left="6800" w:hanging="360"/>
      </w:pPr>
      <w:rPr>
        <w:rFonts w:hint="default"/>
        <w:lang w:val="en-US" w:eastAsia="en-US" w:bidi="ar-SA"/>
      </w:rPr>
    </w:lvl>
    <w:lvl w:ilvl="8" w:tplc="1D3CE572">
      <w:numFmt w:val="bullet"/>
      <w:lvlText w:val="•"/>
      <w:lvlJc w:val="left"/>
      <w:pPr>
        <w:ind w:left="8020" w:hanging="360"/>
      </w:pPr>
      <w:rPr>
        <w:rFonts w:hint="default"/>
        <w:lang w:val="en-US" w:eastAsia="en-US" w:bidi="ar-SA"/>
      </w:rPr>
    </w:lvl>
  </w:abstractNum>
  <w:abstractNum w:abstractNumId="29" w15:restartNumberingAfterBreak="0">
    <w:nsid w:val="5EE96C1B"/>
    <w:multiLevelType w:val="hybridMultilevel"/>
    <w:tmpl w:val="26002B3E"/>
    <w:lvl w:ilvl="0" w:tplc="BA7A7CD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F37558"/>
    <w:multiLevelType w:val="hybridMultilevel"/>
    <w:tmpl w:val="28F4737E"/>
    <w:lvl w:ilvl="0" w:tplc="9ADC956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F7FF1"/>
    <w:multiLevelType w:val="hybridMultilevel"/>
    <w:tmpl w:val="2064F9CC"/>
    <w:lvl w:ilvl="0" w:tplc="BA7A7C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97D55"/>
    <w:multiLevelType w:val="hybridMultilevel"/>
    <w:tmpl w:val="D99CC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A7140E"/>
    <w:multiLevelType w:val="hybridMultilevel"/>
    <w:tmpl w:val="85E8B562"/>
    <w:lvl w:ilvl="0" w:tplc="7862BAB0">
      <w:start w:val="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CE67930"/>
    <w:multiLevelType w:val="hybridMultilevel"/>
    <w:tmpl w:val="2C34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224CA"/>
    <w:multiLevelType w:val="hybridMultilevel"/>
    <w:tmpl w:val="453C7598"/>
    <w:lvl w:ilvl="0" w:tplc="219812D6">
      <w:start w:val="4"/>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D63B6D"/>
    <w:multiLevelType w:val="hybridMultilevel"/>
    <w:tmpl w:val="13563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C1EC6"/>
    <w:multiLevelType w:val="hybridMultilevel"/>
    <w:tmpl w:val="B562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A5D17"/>
    <w:multiLevelType w:val="hybridMultilevel"/>
    <w:tmpl w:val="33468A2C"/>
    <w:lvl w:ilvl="0" w:tplc="524CC23C">
      <w:start w:val="1"/>
      <w:numFmt w:val="decimal"/>
      <w:lvlText w:val="%1)"/>
      <w:lvlJc w:val="left"/>
      <w:pPr>
        <w:ind w:left="480" w:hanging="361"/>
      </w:pPr>
      <w:rPr>
        <w:rFonts w:ascii="Calibri" w:eastAsia="Calibri" w:hAnsi="Calibri" w:cs="Calibri" w:hint="default"/>
        <w:b w:val="0"/>
        <w:bCs w:val="0"/>
        <w:i w:val="0"/>
        <w:iCs w:val="0"/>
        <w:w w:val="100"/>
        <w:sz w:val="22"/>
        <w:szCs w:val="22"/>
        <w:lang w:val="en-US" w:eastAsia="en-US" w:bidi="ar-SA"/>
      </w:rPr>
    </w:lvl>
    <w:lvl w:ilvl="1" w:tplc="C568CA44">
      <w:start w:val="1"/>
      <w:numFmt w:val="lowerLetter"/>
      <w:lvlText w:val="%2)"/>
      <w:lvlJc w:val="left"/>
      <w:pPr>
        <w:ind w:left="840" w:hanging="360"/>
      </w:pPr>
      <w:rPr>
        <w:rFonts w:ascii="Calibri" w:eastAsia="Calibri" w:hAnsi="Calibri" w:cs="Calibri" w:hint="default"/>
        <w:b w:val="0"/>
        <w:bCs w:val="0"/>
        <w:i w:val="0"/>
        <w:iCs w:val="0"/>
        <w:spacing w:val="-1"/>
        <w:w w:val="100"/>
        <w:sz w:val="22"/>
        <w:szCs w:val="22"/>
        <w:lang w:val="en-US" w:eastAsia="en-US" w:bidi="ar-SA"/>
      </w:rPr>
    </w:lvl>
    <w:lvl w:ilvl="2" w:tplc="2C6CA180">
      <w:start w:val="1"/>
      <w:numFmt w:val="decimal"/>
      <w:lvlText w:val="%3."/>
      <w:lvlJc w:val="left"/>
      <w:pPr>
        <w:ind w:left="953" w:hanging="360"/>
      </w:pPr>
      <w:rPr>
        <w:rFonts w:ascii="Calibri" w:eastAsia="Calibri" w:hAnsi="Calibri" w:cs="Calibri" w:hint="default"/>
        <w:b w:val="0"/>
        <w:bCs w:val="0"/>
        <w:i w:val="0"/>
        <w:iCs w:val="0"/>
        <w:w w:val="100"/>
        <w:sz w:val="22"/>
        <w:szCs w:val="22"/>
        <w:lang w:val="en-US" w:eastAsia="en-US" w:bidi="ar-SA"/>
      </w:rPr>
    </w:lvl>
    <w:lvl w:ilvl="3" w:tplc="41BC3712">
      <w:numFmt w:val="bullet"/>
      <w:lvlText w:val="•"/>
      <w:lvlJc w:val="left"/>
      <w:pPr>
        <w:ind w:left="2147" w:hanging="360"/>
      </w:pPr>
      <w:rPr>
        <w:rFonts w:hint="default"/>
        <w:lang w:val="en-US" w:eastAsia="en-US" w:bidi="ar-SA"/>
      </w:rPr>
    </w:lvl>
    <w:lvl w:ilvl="4" w:tplc="2F70656A">
      <w:numFmt w:val="bullet"/>
      <w:lvlText w:val="•"/>
      <w:lvlJc w:val="left"/>
      <w:pPr>
        <w:ind w:left="3335" w:hanging="360"/>
      </w:pPr>
      <w:rPr>
        <w:rFonts w:hint="default"/>
        <w:lang w:val="en-US" w:eastAsia="en-US" w:bidi="ar-SA"/>
      </w:rPr>
    </w:lvl>
    <w:lvl w:ilvl="5" w:tplc="0CBE2BA2">
      <w:numFmt w:val="bullet"/>
      <w:lvlText w:val="•"/>
      <w:lvlJc w:val="left"/>
      <w:pPr>
        <w:ind w:left="4522" w:hanging="360"/>
      </w:pPr>
      <w:rPr>
        <w:rFonts w:hint="default"/>
        <w:lang w:val="en-US" w:eastAsia="en-US" w:bidi="ar-SA"/>
      </w:rPr>
    </w:lvl>
    <w:lvl w:ilvl="6" w:tplc="6148A1E2">
      <w:numFmt w:val="bullet"/>
      <w:lvlText w:val="•"/>
      <w:lvlJc w:val="left"/>
      <w:pPr>
        <w:ind w:left="5710" w:hanging="360"/>
      </w:pPr>
      <w:rPr>
        <w:rFonts w:hint="default"/>
        <w:lang w:val="en-US" w:eastAsia="en-US" w:bidi="ar-SA"/>
      </w:rPr>
    </w:lvl>
    <w:lvl w:ilvl="7" w:tplc="E6DE8E50">
      <w:numFmt w:val="bullet"/>
      <w:lvlText w:val="•"/>
      <w:lvlJc w:val="left"/>
      <w:pPr>
        <w:ind w:left="6897" w:hanging="360"/>
      </w:pPr>
      <w:rPr>
        <w:rFonts w:hint="default"/>
        <w:lang w:val="en-US" w:eastAsia="en-US" w:bidi="ar-SA"/>
      </w:rPr>
    </w:lvl>
    <w:lvl w:ilvl="8" w:tplc="1B38A504">
      <w:numFmt w:val="bullet"/>
      <w:lvlText w:val="•"/>
      <w:lvlJc w:val="left"/>
      <w:pPr>
        <w:ind w:left="8085" w:hanging="360"/>
      </w:pPr>
      <w:rPr>
        <w:rFonts w:hint="default"/>
        <w:lang w:val="en-US" w:eastAsia="en-US" w:bidi="ar-SA"/>
      </w:rPr>
    </w:lvl>
  </w:abstractNum>
  <w:abstractNum w:abstractNumId="39" w15:restartNumberingAfterBreak="0">
    <w:nsid w:val="7A8A4BCA"/>
    <w:multiLevelType w:val="hybridMultilevel"/>
    <w:tmpl w:val="DF10ECC2"/>
    <w:lvl w:ilvl="0" w:tplc="0409000B">
      <w:start w:val="1"/>
      <w:numFmt w:val="bullet"/>
      <w:lvlText w:val=""/>
      <w:lvlJc w:val="left"/>
      <w:pPr>
        <w:tabs>
          <w:tab w:val="num" w:pos="900"/>
        </w:tabs>
        <w:ind w:left="900" w:hanging="360"/>
      </w:pPr>
      <w:rPr>
        <w:rFonts w:ascii="Wingdings" w:hAnsi="Wingdings" w:hint="default"/>
      </w:rPr>
    </w:lvl>
    <w:lvl w:ilvl="1" w:tplc="95928778">
      <w:start w:val="8"/>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ADF0FB0"/>
    <w:multiLevelType w:val="hybridMultilevel"/>
    <w:tmpl w:val="F0A6D19C"/>
    <w:lvl w:ilvl="0" w:tplc="BA7A7C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0420B"/>
    <w:multiLevelType w:val="hybridMultilevel"/>
    <w:tmpl w:val="7A2A251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A18C1"/>
    <w:multiLevelType w:val="hybridMultilevel"/>
    <w:tmpl w:val="92BA79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F56A9"/>
    <w:multiLevelType w:val="hybridMultilevel"/>
    <w:tmpl w:val="C80A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D3C0B"/>
    <w:multiLevelType w:val="hybridMultilevel"/>
    <w:tmpl w:val="E35AA38C"/>
    <w:lvl w:ilvl="0" w:tplc="D09EB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20"/>
  </w:num>
  <w:num w:numId="4">
    <w:abstractNumId w:val="6"/>
  </w:num>
  <w:num w:numId="5">
    <w:abstractNumId w:val="14"/>
  </w:num>
  <w:num w:numId="6">
    <w:abstractNumId w:val="22"/>
  </w:num>
  <w:num w:numId="7">
    <w:abstractNumId w:val="35"/>
  </w:num>
  <w:num w:numId="8">
    <w:abstractNumId w:val="30"/>
  </w:num>
  <w:num w:numId="9">
    <w:abstractNumId w:val="9"/>
  </w:num>
  <w:num w:numId="10">
    <w:abstractNumId w:val="43"/>
  </w:num>
  <w:num w:numId="11">
    <w:abstractNumId w:val="15"/>
  </w:num>
  <w:num w:numId="12">
    <w:abstractNumId w:val="40"/>
  </w:num>
  <w:num w:numId="13">
    <w:abstractNumId w:val="31"/>
  </w:num>
  <w:num w:numId="14">
    <w:abstractNumId w:val="29"/>
  </w:num>
  <w:num w:numId="15">
    <w:abstractNumId w:val="23"/>
  </w:num>
  <w:num w:numId="16">
    <w:abstractNumId w:val="7"/>
  </w:num>
  <w:num w:numId="17">
    <w:abstractNumId w:val="34"/>
  </w:num>
  <w:num w:numId="18">
    <w:abstractNumId w:val="37"/>
  </w:num>
  <w:num w:numId="19">
    <w:abstractNumId w:val="44"/>
  </w:num>
  <w:num w:numId="20">
    <w:abstractNumId w:val="18"/>
  </w:num>
  <w:num w:numId="21">
    <w:abstractNumId w:val="41"/>
  </w:num>
  <w:num w:numId="22">
    <w:abstractNumId w:val="33"/>
  </w:num>
  <w:num w:numId="23">
    <w:abstractNumId w:val="11"/>
  </w:num>
  <w:num w:numId="24">
    <w:abstractNumId w:val="25"/>
  </w:num>
  <w:num w:numId="25">
    <w:abstractNumId w:val="32"/>
  </w:num>
  <w:num w:numId="26">
    <w:abstractNumId w:val="8"/>
  </w:num>
  <w:num w:numId="27">
    <w:abstractNumId w:val="42"/>
  </w:num>
  <w:num w:numId="28">
    <w:abstractNumId w:val="4"/>
  </w:num>
  <w:num w:numId="29">
    <w:abstractNumId w:val="26"/>
  </w:num>
  <w:num w:numId="30">
    <w:abstractNumId w:val="24"/>
  </w:num>
  <w:num w:numId="31">
    <w:abstractNumId w:val="13"/>
  </w:num>
  <w:num w:numId="32">
    <w:abstractNumId w:val="0"/>
  </w:num>
  <w:num w:numId="33">
    <w:abstractNumId w:val="12"/>
  </w:num>
  <w:num w:numId="34">
    <w:abstractNumId w:val="5"/>
  </w:num>
  <w:num w:numId="35">
    <w:abstractNumId w:val="36"/>
  </w:num>
  <w:num w:numId="36">
    <w:abstractNumId w:val="16"/>
  </w:num>
  <w:num w:numId="37">
    <w:abstractNumId w:val="19"/>
  </w:num>
  <w:num w:numId="38">
    <w:abstractNumId w:val="17"/>
  </w:num>
  <w:num w:numId="39">
    <w:abstractNumId w:val="3"/>
  </w:num>
  <w:num w:numId="40">
    <w:abstractNumId w:val="38"/>
  </w:num>
  <w:num w:numId="41">
    <w:abstractNumId w:val="28"/>
  </w:num>
  <w:num w:numId="42">
    <w:abstractNumId w:val="10"/>
  </w:num>
  <w:num w:numId="43">
    <w:abstractNumId w:val="1"/>
  </w:num>
  <w:num w:numId="44">
    <w:abstractNumId w:val="27"/>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ocumentProtection w:edit="forms" w:enforcement="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198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F2"/>
    <w:rsid w:val="00000BAA"/>
    <w:rsid w:val="000041D9"/>
    <w:rsid w:val="0000480D"/>
    <w:rsid w:val="00005181"/>
    <w:rsid w:val="000107CF"/>
    <w:rsid w:val="0001642F"/>
    <w:rsid w:val="000364CB"/>
    <w:rsid w:val="00040D6A"/>
    <w:rsid w:val="00041A32"/>
    <w:rsid w:val="000443E7"/>
    <w:rsid w:val="00052B64"/>
    <w:rsid w:val="000531BA"/>
    <w:rsid w:val="00053E2D"/>
    <w:rsid w:val="000545D0"/>
    <w:rsid w:val="000551B1"/>
    <w:rsid w:val="00055299"/>
    <w:rsid w:val="000564B1"/>
    <w:rsid w:val="00057E4A"/>
    <w:rsid w:val="00062193"/>
    <w:rsid w:val="00063443"/>
    <w:rsid w:val="00064874"/>
    <w:rsid w:val="00064FC0"/>
    <w:rsid w:val="000651F1"/>
    <w:rsid w:val="000663E8"/>
    <w:rsid w:val="00066B4D"/>
    <w:rsid w:val="00072796"/>
    <w:rsid w:val="00074211"/>
    <w:rsid w:val="0008501F"/>
    <w:rsid w:val="00087320"/>
    <w:rsid w:val="000932E0"/>
    <w:rsid w:val="00095935"/>
    <w:rsid w:val="000A15D4"/>
    <w:rsid w:val="000A26F5"/>
    <w:rsid w:val="000A4374"/>
    <w:rsid w:val="000B0725"/>
    <w:rsid w:val="000C0268"/>
    <w:rsid w:val="000C2548"/>
    <w:rsid w:val="000D36E7"/>
    <w:rsid w:val="000D3FB3"/>
    <w:rsid w:val="000D4BFA"/>
    <w:rsid w:val="000D5165"/>
    <w:rsid w:val="000E10F7"/>
    <w:rsid w:val="000E1A1D"/>
    <w:rsid w:val="000E663A"/>
    <w:rsid w:val="000E7C06"/>
    <w:rsid w:val="000F0E24"/>
    <w:rsid w:val="000F2223"/>
    <w:rsid w:val="000F2321"/>
    <w:rsid w:val="001071DA"/>
    <w:rsid w:val="00107BEC"/>
    <w:rsid w:val="00110C23"/>
    <w:rsid w:val="00111C6D"/>
    <w:rsid w:val="001132E3"/>
    <w:rsid w:val="00113649"/>
    <w:rsid w:val="00113BF2"/>
    <w:rsid w:val="00115148"/>
    <w:rsid w:val="001159A9"/>
    <w:rsid w:val="001225D6"/>
    <w:rsid w:val="001230B4"/>
    <w:rsid w:val="00124CC5"/>
    <w:rsid w:val="00126F5A"/>
    <w:rsid w:val="00127F7E"/>
    <w:rsid w:val="00131AEC"/>
    <w:rsid w:val="001327AA"/>
    <w:rsid w:val="00136B33"/>
    <w:rsid w:val="00137310"/>
    <w:rsid w:val="00142858"/>
    <w:rsid w:val="001473C7"/>
    <w:rsid w:val="00153B3F"/>
    <w:rsid w:val="00154FAA"/>
    <w:rsid w:val="00157153"/>
    <w:rsid w:val="00176782"/>
    <w:rsid w:val="00177F49"/>
    <w:rsid w:val="00180A43"/>
    <w:rsid w:val="00180F68"/>
    <w:rsid w:val="00184D92"/>
    <w:rsid w:val="001856FB"/>
    <w:rsid w:val="0018684E"/>
    <w:rsid w:val="00190972"/>
    <w:rsid w:val="00192188"/>
    <w:rsid w:val="0019324B"/>
    <w:rsid w:val="001940BE"/>
    <w:rsid w:val="001A3221"/>
    <w:rsid w:val="001A3CD5"/>
    <w:rsid w:val="001A4410"/>
    <w:rsid w:val="001A613E"/>
    <w:rsid w:val="001A74CF"/>
    <w:rsid w:val="001B166A"/>
    <w:rsid w:val="001B1CB0"/>
    <w:rsid w:val="001B51D2"/>
    <w:rsid w:val="001B5E44"/>
    <w:rsid w:val="001B71AC"/>
    <w:rsid w:val="001C1279"/>
    <w:rsid w:val="001C38E3"/>
    <w:rsid w:val="001C5501"/>
    <w:rsid w:val="001D5017"/>
    <w:rsid w:val="001D7536"/>
    <w:rsid w:val="001D7728"/>
    <w:rsid w:val="001E10C4"/>
    <w:rsid w:val="001E3470"/>
    <w:rsid w:val="001E72AC"/>
    <w:rsid w:val="001F6334"/>
    <w:rsid w:val="001F7E09"/>
    <w:rsid w:val="002026AE"/>
    <w:rsid w:val="002033DA"/>
    <w:rsid w:val="002037C2"/>
    <w:rsid w:val="00204E57"/>
    <w:rsid w:val="00206002"/>
    <w:rsid w:val="002105A8"/>
    <w:rsid w:val="0021773C"/>
    <w:rsid w:val="00223B87"/>
    <w:rsid w:val="00226B2D"/>
    <w:rsid w:val="0023075B"/>
    <w:rsid w:val="002308AA"/>
    <w:rsid w:val="002328DF"/>
    <w:rsid w:val="00233ADF"/>
    <w:rsid w:val="0024079F"/>
    <w:rsid w:val="002409BB"/>
    <w:rsid w:val="00240B6D"/>
    <w:rsid w:val="00243308"/>
    <w:rsid w:val="00243313"/>
    <w:rsid w:val="00243CD1"/>
    <w:rsid w:val="00246FF6"/>
    <w:rsid w:val="002476A9"/>
    <w:rsid w:val="00250F20"/>
    <w:rsid w:val="00251AA5"/>
    <w:rsid w:val="00254ADC"/>
    <w:rsid w:val="0025713F"/>
    <w:rsid w:val="00257A32"/>
    <w:rsid w:val="0026164D"/>
    <w:rsid w:val="00261B08"/>
    <w:rsid w:val="0026358E"/>
    <w:rsid w:val="00264A38"/>
    <w:rsid w:val="002654B6"/>
    <w:rsid w:val="002756BD"/>
    <w:rsid w:val="002767AF"/>
    <w:rsid w:val="00280E21"/>
    <w:rsid w:val="0029047F"/>
    <w:rsid w:val="00290B92"/>
    <w:rsid w:val="002A398B"/>
    <w:rsid w:val="002A3F36"/>
    <w:rsid w:val="002B13E9"/>
    <w:rsid w:val="002B23AC"/>
    <w:rsid w:val="002C094A"/>
    <w:rsid w:val="002C27C2"/>
    <w:rsid w:val="002C50DB"/>
    <w:rsid w:val="002D00FC"/>
    <w:rsid w:val="002D01C5"/>
    <w:rsid w:val="002D2F66"/>
    <w:rsid w:val="002D37B1"/>
    <w:rsid w:val="002D4286"/>
    <w:rsid w:val="002D67DC"/>
    <w:rsid w:val="002D7906"/>
    <w:rsid w:val="002E3C50"/>
    <w:rsid w:val="002F0385"/>
    <w:rsid w:val="002F662B"/>
    <w:rsid w:val="00301562"/>
    <w:rsid w:val="003034E8"/>
    <w:rsid w:val="0030627C"/>
    <w:rsid w:val="003076BB"/>
    <w:rsid w:val="003148DA"/>
    <w:rsid w:val="00317428"/>
    <w:rsid w:val="00321994"/>
    <w:rsid w:val="00326017"/>
    <w:rsid w:val="003277E6"/>
    <w:rsid w:val="00331588"/>
    <w:rsid w:val="00333C2E"/>
    <w:rsid w:val="003347E4"/>
    <w:rsid w:val="003358C4"/>
    <w:rsid w:val="00337AC3"/>
    <w:rsid w:val="003437AE"/>
    <w:rsid w:val="00343E17"/>
    <w:rsid w:val="0034682B"/>
    <w:rsid w:val="00347F0A"/>
    <w:rsid w:val="003516C1"/>
    <w:rsid w:val="00351A26"/>
    <w:rsid w:val="0035376D"/>
    <w:rsid w:val="003557D5"/>
    <w:rsid w:val="003611EE"/>
    <w:rsid w:val="003702D0"/>
    <w:rsid w:val="0037030D"/>
    <w:rsid w:val="003727A8"/>
    <w:rsid w:val="0037647C"/>
    <w:rsid w:val="00381473"/>
    <w:rsid w:val="00382291"/>
    <w:rsid w:val="00383596"/>
    <w:rsid w:val="00384443"/>
    <w:rsid w:val="003857FA"/>
    <w:rsid w:val="003905A4"/>
    <w:rsid w:val="003917D9"/>
    <w:rsid w:val="0039192C"/>
    <w:rsid w:val="00391DBB"/>
    <w:rsid w:val="003976A0"/>
    <w:rsid w:val="003A24A4"/>
    <w:rsid w:val="003B1862"/>
    <w:rsid w:val="003B31DB"/>
    <w:rsid w:val="003B32A1"/>
    <w:rsid w:val="003B33F6"/>
    <w:rsid w:val="003B46DC"/>
    <w:rsid w:val="003B6AC5"/>
    <w:rsid w:val="003B6BFF"/>
    <w:rsid w:val="003B6D8E"/>
    <w:rsid w:val="003B73C8"/>
    <w:rsid w:val="003C3B46"/>
    <w:rsid w:val="003C4559"/>
    <w:rsid w:val="003C6EF5"/>
    <w:rsid w:val="003D4305"/>
    <w:rsid w:val="003D6A9E"/>
    <w:rsid w:val="003D7337"/>
    <w:rsid w:val="003E191B"/>
    <w:rsid w:val="003E2636"/>
    <w:rsid w:val="003E3332"/>
    <w:rsid w:val="003E7A55"/>
    <w:rsid w:val="003F18F6"/>
    <w:rsid w:val="003F2A30"/>
    <w:rsid w:val="003F68CA"/>
    <w:rsid w:val="003F6C7A"/>
    <w:rsid w:val="00403FB8"/>
    <w:rsid w:val="004068C4"/>
    <w:rsid w:val="00407035"/>
    <w:rsid w:val="0041178B"/>
    <w:rsid w:val="00416797"/>
    <w:rsid w:val="00420B2A"/>
    <w:rsid w:val="004244AC"/>
    <w:rsid w:val="00424A88"/>
    <w:rsid w:val="00432558"/>
    <w:rsid w:val="00436CA9"/>
    <w:rsid w:val="0043767F"/>
    <w:rsid w:val="00437EF8"/>
    <w:rsid w:val="00441488"/>
    <w:rsid w:val="004443B2"/>
    <w:rsid w:val="00444639"/>
    <w:rsid w:val="00445A78"/>
    <w:rsid w:val="004501AF"/>
    <w:rsid w:val="00450ACF"/>
    <w:rsid w:val="00453521"/>
    <w:rsid w:val="00455F2A"/>
    <w:rsid w:val="004672F3"/>
    <w:rsid w:val="0047551F"/>
    <w:rsid w:val="00477B42"/>
    <w:rsid w:val="00485D55"/>
    <w:rsid w:val="00490669"/>
    <w:rsid w:val="00490C7E"/>
    <w:rsid w:val="00491241"/>
    <w:rsid w:val="00491396"/>
    <w:rsid w:val="00492C52"/>
    <w:rsid w:val="00492FC6"/>
    <w:rsid w:val="0049313E"/>
    <w:rsid w:val="0049346D"/>
    <w:rsid w:val="004961A2"/>
    <w:rsid w:val="004A0934"/>
    <w:rsid w:val="004A2F73"/>
    <w:rsid w:val="004A3C22"/>
    <w:rsid w:val="004A5C3F"/>
    <w:rsid w:val="004A6015"/>
    <w:rsid w:val="004A6A6D"/>
    <w:rsid w:val="004B4F3F"/>
    <w:rsid w:val="004B51D7"/>
    <w:rsid w:val="004B59F1"/>
    <w:rsid w:val="004B5D2B"/>
    <w:rsid w:val="004C055B"/>
    <w:rsid w:val="004C124B"/>
    <w:rsid w:val="004C2AD0"/>
    <w:rsid w:val="004D5534"/>
    <w:rsid w:val="004D7EE3"/>
    <w:rsid w:val="004E396C"/>
    <w:rsid w:val="004E546F"/>
    <w:rsid w:val="004F0113"/>
    <w:rsid w:val="004F168A"/>
    <w:rsid w:val="004F2C1D"/>
    <w:rsid w:val="004F49DE"/>
    <w:rsid w:val="004F66DC"/>
    <w:rsid w:val="004F68F9"/>
    <w:rsid w:val="005049D0"/>
    <w:rsid w:val="00504AF4"/>
    <w:rsid w:val="00512AB0"/>
    <w:rsid w:val="00515A00"/>
    <w:rsid w:val="00516682"/>
    <w:rsid w:val="00517400"/>
    <w:rsid w:val="005220EE"/>
    <w:rsid w:val="00523041"/>
    <w:rsid w:val="0052495E"/>
    <w:rsid w:val="00524B75"/>
    <w:rsid w:val="00536B33"/>
    <w:rsid w:val="00542289"/>
    <w:rsid w:val="00550F5E"/>
    <w:rsid w:val="00551469"/>
    <w:rsid w:val="00554776"/>
    <w:rsid w:val="0056612F"/>
    <w:rsid w:val="00570C99"/>
    <w:rsid w:val="00570CAA"/>
    <w:rsid w:val="005710BA"/>
    <w:rsid w:val="0057285A"/>
    <w:rsid w:val="0057358B"/>
    <w:rsid w:val="005757AC"/>
    <w:rsid w:val="005808E8"/>
    <w:rsid w:val="005843E0"/>
    <w:rsid w:val="005903FA"/>
    <w:rsid w:val="0059781D"/>
    <w:rsid w:val="005A16AE"/>
    <w:rsid w:val="005A3146"/>
    <w:rsid w:val="005A4C05"/>
    <w:rsid w:val="005B2A07"/>
    <w:rsid w:val="005B6D73"/>
    <w:rsid w:val="005B6ECF"/>
    <w:rsid w:val="005C1A14"/>
    <w:rsid w:val="005C23FA"/>
    <w:rsid w:val="005C4E57"/>
    <w:rsid w:val="005D3349"/>
    <w:rsid w:val="005D3504"/>
    <w:rsid w:val="005D3BC7"/>
    <w:rsid w:val="005D4EBD"/>
    <w:rsid w:val="005D54EC"/>
    <w:rsid w:val="005D62EC"/>
    <w:rsid w:val="005D6954"/>
    <w:rsid w:val="005D7EDD"/>
    <w:rsid w:val="005E21E7"/>
    <w:rsid w:val="005E25E1"/>
    <w:rsid w:val="005E4794"/>
    <w:rsid w:val="005F0DF4"/>
    <w:rsid w:val="005F282E"/>
    <w:rsid w:val="005F5BF6"/>
    <w:rsid w:val="005F7546"/>
    <w:rsid w:val="005F7BA9"/>
    <w:rsid w:val="005F7C74"/>
    <w:rsid w:val="006003F8"/>
    <w:rsid w:val="0060357D"/>
    <w:rsid w:val="00607EA5"/>
    <w:rsid w:val="00615B2D"/>
    <w:rsid w:val="0062553A"/>
    <w:rsid w:val="00627A32"/>
    <w:rsid w:val="00627F66"/>
    <w:rsid w:val="00630C01"/>
    <w:rsid w:val="00631CCE"/>
    <w:rsid w:val="00635B49"/>
    <w:rsid w:val="00641DBC"/>
    <w:rsid w:val="00645831"/>
    <w:rsid w:val="00646090"/>
    <w:rsid w:val="00647F81"/>
    <w:rsid w:val="00652571"/>
    <w:rsid w:val="00653E29"/>
    <w:rsid w:val="00653E7A"/>
    <w:rsid w:val="006568C5"/>
    <w:rsid w:val="006630ED"/>
    <w:rsid w:val="006632F9"/>
    <w:rsid w:val="006662CA"/>
    <w:rsid w:val="00670424"/>
    <w:rsid w:val="00671162"/>
    <w:rsid w:val="00672313"/>
    <w:rsid w:val="00680DC1"/>
    <w:rsid w:val="00682B12"/>
    <w:rsid w:val="00690938"/>
    <w:rsid w:val="006919F5"/>
    <w:rsid w:val="006A38D0"/>
    <w:rsid w:val="006A69B0"/>
    <w:rsid w:val="006A6C90"/>
    <w:rsid w:val="006B04C3"/>
    <w:rsid w:val="006B33B2"/>
    <w:rsid w:val="006B6DC3"/>
    <w:rsid w:val="006C7A41"/>
    <w:rsid w:val="006D143B"/>
    <w:rsid w:val="006D2AD7"/>
    <w:rsid w:val="006D394C"/>
    <w:rsid w:val="006D408D"/>
    <w:rsid w:val="006D5892"/>
    <w:rsid w:val="006D5A1E"/>
    <w:rsid w:val="006D7680"/>
    <w:rsid w:val="006E0F56"/>
    <w:rsid w:val="006E1148"/>
    <w:rsid w:val="006F14D3"/>
    <w:rsid w:val="006F633C"/>
    <w:rsid w:val="006F635F"/>
    <w:rsid w:val="006F66BC"/>
    <w:rsid w:val="007045D1"/>
    <w:rsid w:val="00705490"/>
    <w:rsid w:val="007146AE"/>
    <w:rsid w:val="007146F2"/>
    <w:rsid w:val="00714C71"/>
    <w:rsid w:val="007156D4"/>
    <w:rsid w:val="00717CCA"/>
    <w:rsid w:val="00722C1F"/>
    <w:rsid w:val="00727D3A"/>
    <w:rsid w:val="00735D59"/>
    <w:rsid w:val="00736B8E"/>
    <w:rsid w:val="007514D0"/>
    <w:rsid w:val="00751E06"/>
    <w:rsid w:val="00755FD7"/>
    <w:rsid w:val="0075740F"/>
    <w:rsid w:val="007603D3"/>
    <w:rsid w:val="00760E40"/>
    <w:rsid w:val="00762D3B"/>
    <w:rsid w:val="0078288D"/>
    <w:rsid w:val="00784E6C"/>
    <w:rsid w:val="00786217"/>
    <w:rsid w:val="00787004"/>
    <w:rsid w:val="007971F1"/>
    <w:rsid w:val="007A0266"/>
    <w:rsid w:val="007A1B64"/>
    <w:rsid w:val="007A1D2F"/>
    <w:rsid w:val="007A1DCD"/>
    <w:rsid w:val="007A3A5A"/>
    <w:rsid w:val="007A66F5"/>
    <w:rsid w:val="007B45A7"/>
    <w:rsid w:val="007D0D52"/>
    <w:rsid w:val="007D3ADF"/>
    <w:rsid w:val="007E0E80"/>
    <w:rsid w:val="007E33F1"/>
    <w:rsid w:val="007E39F0"/>
    <w:rsid w:val="007E53D5"/>
    <w:rsid w:val="007F10BD"/>
    <w:rsid w:val="007F112D"/>
    <w:rsid w:val="007F1C6A"/>
    <w:rsid w:val="008036C0"/>
    <w:rsid w:val="0080445D"/>
    <w:rsid w:val="00804D09"/>
    <w:rsid w:val="008070A3"/>
    <w:rsid w:val="00807C60"/>
    <w:rsid w:val="00814B58"/>
    <w:rsid w:val="00817F35"/>
    <w:rsid w:val="008202D7"/>
    <w:rsid w:val="00821974"/>
    <w:rsid w:val="008327C4"/>
    <w:rsid w:val="00835202"/>
    <w:rsid w:val="0083524F"/>
    <w:rsid w:val="0083770C"/>
    <w:rsid w:val="00840593"/>
    <w:rsid w:val="008414AA"/>
    <w:rsid w:val="00843CFF"/>
    <w:rsid w:val="008445C9"/>
    <w:rsid w:val="00845C29"/>
    <w:rsid w:val="00847FBC"/>
    <w:rsid w:val="008537BF"/>
    <w:rsid w:val="0085672D"/>
    <w:rsid w:val="0085720F"/>
    <w:rsid w:val="0086270A"/>
    <w:rsid w:val="0086488A"/>
    <w:rsid w:val="00865004"/>
    <w:rsid w:val="0086528C"/>
    <w:rsid w:val="0086693A"/>
    <w:rsid w:val="008669A0"/>
    <w:rsid w:val="00867AA5"/>
    <w:rsid w:val="008773A6"/>
    <w:rsid w:val="00877C1A"/>
    <w:rsid w:val="00880862"/>
    <w:rsid w:val="008811AA"/>
    <w:rsid w:val="00885BA5"/>
    <w:rsid w:val="008912EA"/>
    <w:rsid w:val="0089398D"/>
    <w:rsid w:val="00893CE3"/>
    <w:rsid w:val="00894621"/>
    <w:rsid w:val="008A057E"/>
    <w:rsid w:val="008A32E7"/>
    <w:rsid w:val="008A588B"/>
    <w:rsid w:val="008A6385"/>
    <w:rsid w:val="008A6572"/>
    <w:rsid w:val="008B08BA"/>
    <w:rsid w:val="008B3EFB"/>
    <w:rsid w:val="008B5533"/>
    <w:rsid w:val="008B7511"/>
    <w:rsid w:val="008C1B7F"/>
    <w:rsid w:val="008C296B"/>
    <w:rsid w:val="008D4112"/>
    <w:rsid w:val="008D502E"/>
    <w:rsid w:val="008E1B10"/>
    <w:rsid w:val="008E55B5"/>
    <w:rsid w:val="008E6BE5"/>
    <w:rsid w:val="008F46C4"/>
    <w:rsid w:val="008F4BA6"/>
    <w:rsid w:val="008F6409"/>
    <w:rsid w:val="0090190C"/>
    <w:rsid w:val="0090419E"/>
    <w:rsid w:val="00906058"/>
    <w:rsid w:val="00906B11"/>
    <w:rsid w:val="009105EF"/>
    <w:rsid w:val="00916A56"/>
    <w:rsid w:val="0092249F"/>
    <w:rsid w:val="0093048C"/>
    <w:rsid w:val="00930929"/>
    <w:rsid w:val="00935124"/>
    <w:rsid w:val="009361FD"/>
    <w:rsid w:val="0093625E"/>
    <w:rsid w:val="0093758A"/>
    <w:rsid w:val="009408C2"/>
    <w:rsid w:val="009414A6"/>
    <w:rsid w:val="00941B5E"/>
    <w:rsid w:val="00942765"/>
    <w:rsid w:val="00944403"/>
    <w:rsid w:val="009464C4"/>
    <w:rsid w:val="00947891"/>
    <w:rsid w:val="00947B5D"/>
    <w:rsid w:val="00950C36"/>
    <w:rsid w:val="009530CA"/>
    <w:rsid w:val="00953239"/>
    <w:rsid w:val="009600F4"/>
    <w:rsid w:val="00964A98"/>
    <w:rsid w:val="00964EBC"/>
    <w:rsid w:val="00966984"/>
    <w:rsid w:val="009714A6"/>
    <w:rsid w:val="00971CD6"/>
    <w:rsid w:val="00973DD2"/>
    <w:rsid w:val="0097447D"/>
    <w:rsid w:val="009764E9"/>
    <w:rsid w:val="009773C6"/>
    <w:rsid w:val="0098482B"/>
    <w:rsid w:val="00985B22"/>
    <w:rsid w:val="00990510"/>
    <w:rsid w:val="00997B2B"/>
    <w:rsid w:val="00997E05"/>
    <w:rsid w:val="009A13BE"/>
    <w:rsid w:val="009A7D5E"/>
    <w:rsid w:val="009B1ED6"/>
    <w:rsid w:val="009B214A"/>
    <w:rsid w:val="009B4F82"/>
    <w:rsid w:val="009C06B4"/>
    <w:rsid w:val="009C07D4"/>
    <w:rsid w:val="009C137D"/>
    <w:rsid w:val="009C78B4"/>
    <w:rsid w:val="009D5262"/>
    <w:rsid w:val="009F3CBA"/>
    <w:rsid w:val="009F4FD6"/>
    <w:rsid w:val="009F5AD5"/>
    <w:rsid w:val="00A021B5"/>
    <w:rsid w:val="00A03E63"/>
    <w:rsid w:val="00A11267"/>
    <w:rsid w:val="00A11578"/>
    <w:rsid w:val="00A163B3"/>
    <w:rsid w:val="00A21E0D"/>
    <w:rsid w:val="00A23592"/>
    <w:rsid w:val="00A237B4"/>
    <w:rsid w:val="00A25A79"/>
    <w:rsid w:val="00A32ECC"/>
    <w:rsid w:val="00A34E1F"/>
    <w:rsid w:val="00A35008"/>
    <w:rsid w:val="00A4117C"/>
    <w:rsid w:val="00A416B1"/>
    <w:rsid w:val="00A42D2C"/>
    <w:rsid w:val="00A514B7"/>
    <w:rsid w:val="00A51595"/>
    <w:rsid w:val="00A51B89"/>
    <w:rsid w:val="00A51DA9"/>
    <w:rsid w:val="00A5273C"/>
    <w:rsid w:val="00A53915"/>
    <w:rsid w:val="00A5483A"/>
    <w:rsid w:val="00A550A2"/>
    <w:rsid w:val="00A57480"/>
    <w:rsid w:val="00A604D7"/>
    <w:rsid w:val="00A605AF"/>
    <w:rsid w:val="00A611F6"/>
    <w:rsid w:val="00A61C0E"/>
    <w:rsid w:val="00A64C78"/>
    <w:rsid w:val="00A66FB5"/>
    <w:rsid w:val="00A67B10"/>
    <w:rsid w:val="00A70F5D"/>
    <w:rsid w:val="00A74CC7"/>
    <w:rsid w:val="00A7515F"/>
    <w:rsid w:val="00A77A5F"/>
    <w:rsid w:val="00A82C7A"/>
    <w:rsid w:val="00A90BC6"/>
    <w:rsid w:val="00A97C16"/>
    <w:rsid w:val="00AA1A91"/>
    <w:rsid w:val="00AA23E6"/>
    <w:rsid w:val="00AA4830"/>
    <w:rsid w:val="00AB07F2"/>
    <w:rsid w:val="00AB0B40"/>
    <w:rsid w:val="00AC125F"/>
    <w:rsid w:val="00AC7259"/>
    <w:rsid w:val="00AD31B6"/>
    <w:rsid w:val="00AD4624"/>
    <w:rsid w:val="00AD46BA"/>
    <w:rsid w:val="00AD61F9"/>
    <w:rsid w:val="00AD7BD2"/>
    <w:rsid w:val="00AE0946"/>
    <w:rsid w:val="00AE1288"/>
    <w:rsid w:val="00AE1926"/>
    <w:rsid w:val="00AE2D8F"/>
    <w:rsid w:val="00AE5894"/>
    <w:rsid w:val="00AF6D91"/>
    <w:rsid w:val="00AF6FDB"/>
    <w:rsid w:val="00AF710E"/>
    <w:rsid w:val="00B02D60"/>
    <w:rsid w:val="00B035AB"/>
    <w:rsid w:val="00B05A32"/>
    <w:rsid w:val="00B115C0"/>
    <w:rsid w:val="00B1337A"/>
    <w:rsid w:val="00B151CE"/>
    <w:rsid w:val="00B1523E"/>
    <w:rsid w:val="00B169AF"/>
    <w:rsid w:val="00B2052F"/>
    <w:rsid w:val="00B22755"/>
    <w:rsid w:val="00B27E9C"/>
    <w:rsid w:val="00B3459E"/>
    <w:rsid w:val="00B3555E"/>
    <w:rsid w:val="00B3580A"/>
    <w:rsid w:val="00B37211"/>
    <w:rsid w:val="00B44A4C"/>
    <w:rsid w:val="00B46A6D"/>
    <w:rsid w:val="00B4747C"/>
    <w:rsid w:val="00B548D7"/>
    <w:rsid w:val="00B62145"/>
    <w:rsid w:val="00B62A0E"/>
    <w:rsid w:val="00B6302F"/>
    <w:rsid w:val="00B63111"/>
    <w:rsid w:val="00B64882"/>
    <w:rsid w:val="00B71417"/>
    <w:rsid w:val="00B76395"/>
    <w:rsid w:val="00B82A63"/>
    <w:rsid w:val="00B84F87"/>
    <w:rsid w:val="00B921BF"/>
    <w:rsid w:val="00B922C1"/>
    <w:rsid w:val="00BA6283"/>
    <w:rsid w:val="00BA7544"/>
    <w:rsid w:val="00BA7BC7"/>
    <w:rsid w:val="00BB316F"/>
    <w:rsid w:val="00BB4683"/>
    <w:rsid w:val="00BB5F64"/>
    <w:rsid w:val="00BB728B"/>
    <w:rsid w:val="00BC084B"/>
    <w:rsid w:val="00BC1C6B"/>
    <w:rsid w:val="00BC28C0"/>
    <w:rsid w:val="00BC3EAC"/>
    <w:rsid w:val="00BC634D"/>
    <w:rsid w:val="00BC67DA"/>
    <w:rsid w:val="00BC6CFA"/>
    <w:rsid w:val="00BD0854"/>
    <w:rsid w:val="00BD3608"/>
    <w:rsid w:val="00BD41C9"/>
    <w:rsid w:val="00BE04B0"/>
    <w:rsid w:val="00BE5C9D"/>
    <w:rsid w:val="00BE607A"/>
    <w:rsid w:val="00BF085C"/>
    <w:rsid w:val="00BF2D54"/>
    <w:rsid w:val="00C05D00"/>
    <w:rsid w:val="00C10C9D"/>
    <w:rsid w:val="00C121FE"/>
    <w:rsid w:val="00C15511"/>
    <w:rsid w:val="00C15BCA"/>
    <w:rsid w:val="00C160F2"/>
    <w:rsid w:val="00C1710C"/>
    <w:rsid w:val="00C17D90"/>
    <w:rsid w:val="00C20EEF"/>
    <w:rsid w:val="00C218DF"/>
    <w:rsid w:val="00C2311D"/>
    <w:rsid w:val="00C23925"/>
    <w:rsid w:val="00C24B06"/>
    <w:rsid w:val="00C2755B"/>
    <w:rsid w:val="00C327E1"/>
    <w:rsid w:val="00C34423"/>
    <w:rsid w:val="00C4154F"/>
    <w:rsid w:val="00C41833"/>
    <w:rsid w:val="00C44A0C"/>
    <w:rsid w:val="00C46246"/>
    <w:rsid w:val="00C463EC"/>
    <w:rsid w:val="00C4702F"/>
    <w:rsid w:val="00C513F2"/>
    <w:rsid w:val="00C52516"/>
    <w:rsid w:val="00C566E1"/>
    <w:rsid w:val="00C60F4E"/>
    <w:rsid w:val="00C621B1"/>
    <w:rsid w:val="00C65EA4"/>
    <w:rsid w:val="00C66C39"/>
    <w:rsid w:val="00C72B82"/>
    <w:rsid w:val="00C810C7"/>
    <w:rsid w:val="00C814C6"/>
    <w:rsid w:val="00C82FC6"/>
    <w:rsid w:val="00C85608"/>
    <w:rsid w:val="00C943C2"/>
    <w:rsid w:val="00C9646A"/>
    <w:rsid w:val="00C9767E"/>
    <w:rsid w:val="00CB080D"/>
    <w:rsid w:val="00CB212D"/>
    <w:rsid w:val="00CB39D0"/>
    <w:rsid w:val="00CB4120"/>
    <w:rsid w:val="00CC28F9"/>
    <w:rsid w:val="00CC3B1F"/>
    <w:rsid w:val="00CC6175"/>
    <w:rsid w:val="00CD06ED"/>
    <w:rsid w:val="00CD1BE3"/>
    <w:rsid w:val="00CD1F39"/>
    <w:rsid w:val="00CD597B"/>
    <w:rsid w:val="00CD5D9E"/>
    <w:rsid w:val="00CD618D"/>
    <w:rsid w:val="00CE3A49"/>
    <w:rsid w:val="00CE785B"/>
    <w:rsid w:val="00CF131E"/>
    <w:rsid w:val="00CF3FE8"/>
    <w:rsid w:val="00CF40F3"/>
    <w:rsid w:val="00CF5E8D"/>
    <w:rsid w:val="00D033F9"/>
    <w:rsid w:val="00D03A8B"/>
    <w:rsid w:val="00D04F1B"/>
    <w:rsid w:val="00D11BA6"/>
    <w:rsid w:val="00D1213C"/>
    <w:rsid w:val="00D21A96"/>
    <w:rsid w:val="00D27A71"/>
    <w:rsid w:val="00D27DE0"/>
    <w:rsid w:val="00D32ADE"/>
    <w:rsid w:val="00D425FB"/>
    <w:rsid w:val="00D437B3"/>
    <w:rsid w:val="00D43D52"/>
    <w:rsid w:val="00D44C2D"/>
    <w:rsid w:val="00D44CCD"/>
    <w:rsid w:val="00D4642E"/>
    <w:rsid w:val="00D47682"/>
    <w:rsid w:val="00D513B5"/>
    <w:rsid w:val="00D51B46"/>
    <w:rsid w:val="00D51BAF"/>
    <w:rsid w:val="00D568DE"/>
    <w:rsid w:val="00D6064C"/>
    <w:rsid w:val="00D608E5"/>
    <w:rsid w:val="00D6614D"/>
    <w:rsid w:val="00D73E88"/>
    <w:rsid w:val="00D7434D"/>
    <w:rsid w:val="00D755C3"/>
    <w:rsid w:val="00D76537"/>
    <w:rsid w:val="00D80AB8"/>
    <w:rsid w:val="00D81E81"/>
    <w:rsid w:val="00D87A57"/>
    <w:rsid w:val="00D90EF7"/>
    <w:rsid w:val="00D92A7F"/>
    <w:rsid w:val="00D92A83"/>
    <w:rsid w:val="00D93B96"/>
    <w:rsid w:val="00D949B9"/>
    <w:rsid w:val="00D974AC"/>
    <w:rsid w:val="00DA0F88"/>
    <w:rsid w:val="00DA24D6"/>
    <w:rsid w:val="00DA4807"/>
    <w:rsid w:val="00DA560E"/>
    <w:rsid w:val="00DB0289"/>
    <w:rsid w:val="00DB1EB9"/>
    <w:rsid w:val="00DB21C8"/>
    <w:rsid w:val="00DB3A52"/>
    <w:rsid w:val="00DB3EBD"/>
    <w:rsid w:val="00DB5122"/>
    <w:rsid w:val="00DB75E8"/>
    <w:rsid w:val="00DC0B1A"/>
    <w:rsid w:val="00DC1859"/>
    <w:rsid w:val="00DC6513"/>
    <w:rsid w:val="00DD1BB6"/>
    <w:rsid w:val="00DD61F8"/>
    <w:rsid w:val="00DE0C7C"/>
    <w:rsid w:val="00DE19C4"/>
    <w:rsid w:val="00DE3E8A"/>
    <w:rsid w:val="00DF0CBC"/>
    <w:rsid w:val="00DF2610"/>
    <w:rsid w:val="00DF27C2"/>
    <w:rsid w:val="00DF64C0"/>
    <w:rsid w:val="00E01360"/>
    <w:rsid w:val="00E12947"/>
    <w:rsid w:val="00E12DCB"/>
    <w:rsid w:val="00E2684E"/>
    <w:rsid w:val="00E27B07"/>
    <w:rsid w:val="00E4184C"/>
    <w:rsid w:val="00E450BF"/>
    <w:rsid w:val="00E45418"/>
    <w:rsid w:val="00E4561E"/>
    <w:rsid w:val="00E45945"/>
    <w:rsid w:val="00E46D32"/>
    <w:rsid w:val="00E47201"/>
    <w:rsid w:val="00E50298"/>
    <w:rsid w:val="00E509AB"/>
    <w:rsid w:val="00E52696"/>
    <w:rsid w:val="00E54394"/>
    <w:rsid w:val="00E5566E"/>
    <w:rsid w:val="00E55A98"/>
    <w:rsid w:val="00E5675C"/>
    <w:rsid w:val="00E6176C"/>
    <w:rsid w:val="00E664BF"/>
    <w:rsid w:val="00E67F5D"/>
    <w:rsid w:val="00E70C88"/>
    <w:rsid w:val="00E71500"/>
    <w:rsid w:val="00E71BD9"/>
    <w:rsid w:val="00E749C2"/>
    <w:rsid w:val="00E74D38"/>
    <w:rsid w:val="00E765C1"/>
    <w:rsid w:val="00E76BF7"/>
    <w:rsid w:val="00E772E2"/>
    <w:rsid w:val="00E77A4B"/>
    <w:rsid w:val="00E856C3"/>
    <w:rsid w:val="00E86A8F"/>
    <w:rsid w:val="00EA14DF"/>
    <w:rsid w:val="00EA6EB8"/>
    <w:rsid w:val="00EA7950"/>
    <w:rsid w:val="00EB12B7"/>
    <w:rsid w:val="00EB1795"/>
    <w:rsid w:val="00EB1FF0"/>
    <w:rsid w:val="00EB58CE"/>
    <w:rsid w:val="00EC2D97"/>
    <w:rsid w:val="00ED06C3"/>
    <w:rsid w:val="00ED371A"/>
    <w:rsid w:val="00ED7B04"/>
    <w:rsid w:val="00EE2DBA"/>
    <w:rsid w:val="00EE341C"/>
    <w:rsid w:val="00EE49CE"/>
    <w:rsid w:val="00EE7C7F"/>
    <w:rsid w:val="00EF0453"/>
    <w:rsid w:val="00F01E24"/>
    <w:rsid w:val="00F01FAE"/>
    <w:rsid w:val="00F02656"/>
    <w:rsid w:val="00F03A60"/>
    <w:rsid w:val="00F064C5"/>
    <w:rsid w:val="00F2246B"/>
    <w:rsid w:val="00F2543D"/>
    <w:rsid w:val="00F2552E"/>
    <w:rsid w:val="00F27210"/>
    <w:rsid w:val="00F31D4B"/>
    <w:rsid w:val="00F3357D"/>
    <w:rsid w:val="00F36B39"/>
    <w:rsid w:val="00F36DCE"/>
    <w:rsid w:val="00F436B6"/>
    <w:rsid w:val="00F43C5C"/>
    <w:rsid w:val="00F445B0"/>
    <w:rsid w:val="00F46988"/>
    <w:rsid w:val="00F50342"/>
    <w:rsid w:val="00F51509"/>
    <w:rsid w:val="00F52C51"/>
    <w:rsid w:val="00F5690D"/>
    <w:rsid w:val="00F57953"/>
    <w:rsid w:val="00F627A8"/>
    <w:rsid w:val="00F759E3"/>
    <w:rsid w:val="00F8559F"/>
    <w:rsid w:val="00F85CAE"/>
    <w:rsid w:val="00F86FE3"/>
    <w:rsid w:val="00F906D8"/>
    <w:rsid w:val="00F90F32"/>
    <w:rsid w:val="00F915D0"/>
    <w:rsid w:val="00F95771"/>
    <w:rsid w:val="00F9606D"/>
    <w:rsid w:val="00F974D5"/>
    <w:rsid w:val="00FA16D5"/>
    <w:rsid w:val="00FB2D82"/>
    <w:rsid w:val="00FB51FF"/>
    <w:rsid w:val="00FC189C"/>
    <w:rsid w:val="00FC2473"/>
    <w:rsid w:val="00FC26BC"/>
    <w:rsid w:val="00FC4453"/>
    <w:rsid w:val="00FC6556"/>
    <w:rsid w:val="00FD0A22"/>
    <w:rsid w:val="00FD61F2"/>
    <w:rsid w:val="00FD62DB"/>
    <w:rsid w:val="00FD6E6F"/>
    <w:rsid w:val="00FE0228"/>
    <w:rsid w:val="00FE074F"/>
    <w:rsid w:val="00FE5824"/>
    <w:rsid w:val="00FE644A"/>
    <w:rsid w:val="00FE6667"/>
    <w:rsid w:val="00FF44A0"/>
    <w:rsid w:val="00FF463E"/>
    <w:rsid w:val="00FF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35B983F"/>
  <w15:chartTrackingRefBased/>
  <w15:docId w15:val="{1BB40C5F-0F45-43E0-B271-68FA3E1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32"/>
      <w:u w:val="single"/>
    </w:rPr>
  </w:style>
  <w:style w:type="paragraph" w:styleId="Heading2">
    <w:name w:val="heading 2"/>
    <w:basedOn w:val="Normal"/>
    <w:next w:val="Normal"/>
    <w:qFormat/>
    <w:pPr>
      <w:keepNext/>
      <w:spacing w:before="240" w:after="60"/>
      <w:outlineLvl w:val="1"/>
    </w:pPr>
    <w:rPr>
      <w:b/>
      <w:sz w:val="28"/>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b/>
      <w:smallCaps/>
      <w:sz w:val="28"/>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spacing w:before="6"/>
    </w:pPr>
    <w:rPr>
      <w:rFonts w:ascii="Arial" w:hAnsi="Arial"/>
      <w:b/>
      <w:sz w:val="28"/>
    </w:rPr>
  </w:style>
  <w:style w:type="paragraph" w:styleId="BodyText">
    <w:name w:val="Body Text"/>
    <w:basedOn w:val="Normal"/>
    <w:link w:val="BodyTextChar"/>
    <w:pPr>
      <w:jc w:val="both"/>
    </w:pPr>
    <w:rPr>
      <w:sz w:val="24"/>
    </w:rPr>
  </w:style>
  <w:style w:type="paragraph" w:styleId="BodyTextIndent">
    <w:name w:val="Body Text Indent"/>
    <w:basedOn w:val="Normal"/>
    <w:semiHidden/>
    <w:pPr>
      <w:tabs>
        <w:tab w:val="left" w:pos="360"/>
        <w:tab w:val="left" w:pos="720"/>
      </w:tabs>
      <w:spacing w:after="120"/>
      <w:ind w:left="720"/>
      <w:jc w:val="both"/>
    </w:pPr>
    <w:rPr>
      <w:sz w:val="24"/>
    </w:rPr>
  </w:style>
  <w:style w:type="paragraph" w:styleId="BodyTextIndent2">
    <w:name w:val="Body Text Indent 2"/>
    <w:basedOn w:val="Normal"/>
    <w:semiHidden/>
    <w:pPr>
      <w:tabs>
        <w:tab w:val="left" w:pos="360"/>
        <w:tab w:val="left" w:pos="1080"/>
        <w:tab w:val="left" w:pos="1620"/>
        <w:tab w:val="left" w:pos="1800"/>
      </w:tabs>
      <w:ind w:left="1620" w:hanging="1620"/>
      <w:jc w:val="both"/>
    </w:pPr>
    <w:rPr>
      <w:sz w:val="24"/>
    </w:rPr>
  </w:style>
  <w:style w:type="paragraph" w:styleId="BodyTextIndent3">
    <w:name w:val="Body Text Indent 3"/>
    <w:basedOn w:val="Normal"/>
    <w:semiHidden/>
    <w:pPr>
      <w:tabs>
        <w:tab w:val="left" w:pos="360"/>
        <w:tab w:val="left" w:pos="1080"/>
        <w:tab w:val="left" w:pos="1440"/>
      </w:tabs>
      <w:ind w:left="1080" w:hanging="1080"/>
      <w:jc w:val="both"/>
    </w:pPr>
    <w:rPr>
      <w:sz w:val="24"/>
    </w:rPr>
  </w:style>
  <w:style w:type="paragraph" w:styleId="BodyText2">
    <w:name w:val="Body Text 2"/>
    <w:basedOn w:val="Normal"/>
    <w:semiHidden/>
    <w:rPr>
      <w:sz w:val="24"/>
    </w:rPr>
  </w:style>
  <w:style w:type="paragraph" w:styleId="BodyText3">
    <w:name w:val="Body Text 3"/>
    <w:basedOn w:val="Normal"/>
    <w:semiHidden/>
    <w:pPr>
      <w:spacing w:line="300" w:lineRule="atLeast"/>
      <w:ind w:right="18"/>
      <w:jc w:val="both"/>
    </w:pPr>
    <w:rPr>
      <w:sz w:val="24"/>
    </w:rPr>
  </w:style>
  <w:style w:type="paragraph" w:styleId="Title">
    <w:name w:val="Title"/>
    <w:basedOn w:val="Normal"/>
    <w:qFormat/>
    <w:pPr>
      <w:overflowPunct/>
      <w:autoSpaceDE/>
      <w:autoSpaceDN/>
      <w:adjustRightInd/>
      <w:jc w:val="center"/>
      <w:textAlignment w:val="auto"/>
    </w:pPr>
    <w:rPr>
      <w:sz w:val="28"/>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semiHidden/>
    <w:pPr>
      <w:ind w:left="450" w:right="-36" w:hanging="450"/>
    </w:pPr>
    <w:rPr>
      <w:sz w:val="24"/>
    </w:r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EB1FF0"/>
    <w:rPr>
      <w:rFonts w:ascii="Tahoma" w:hAnsi="Tahoma"/>
      <w:sz w:val="16"/>
      <w:szCs w:val="16"/>
      <w:lang w:val="x-none" w:eastAsia="x-none"/>
    </w:rPr>
  </w:style>
  <w:style w:type="character" w:customStyle="1" w:styleId="BalloonTextChar">
    <w:name w:val="Balloon Text Char"/>
    <w:link w:val="BalloonText"/>
    <w:uiPriority w:val="99"/>
    <w:semiHidden/>
    <w:rsid w:val="00EB1FF0"/>
    <w:rPr>
      <w:rFonts w:ascii="Tahoma" w:hAnsi="Tahoma" w:cs="Tahoma"/>
      <w:sz w:val="16"/>
      <w:szCs w:val="16"/>
    </w:rPr>
  </w:style>
  <w:style w:type="table" w:styleId="TableGrid">
    <w:name w:val="Table Grid"/>
    <w:basedOn w:val="TableNormal"/>
    <w:uiPriority w:val="39"/>
    <w:rsid w:val="003F18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hidden/>
    <w:rsid w:val="00C814C6"/>
    <w:pPr>
      <w:pBdr>
        <w:bottom w:val="single" w:sz="6" w:space="1" w:color="auto"/>
      </w:pBdr>
      <w:overflowPunct/>
      <w:autoSpaceDE/>
      <w:autoSpaceDN/>
      <w:adjustRightInd/>
      <w:jc w:val="center"/>
      <w:textAlignment w:val="auto"/>
    </w:pPr>
    <w:rPr>
      <w:rFonts w:ascii="Arial" w:hAnsi="Arial" w:cs="Arial"/>
      <w:vanish/>
      <w:sz w:val="16"/>
      <w:szCs w:val="16"/>
    </w:rPr>
  </w:style>
  <w:style w:type="paragraph" w:styleId="z-BottomofForm">
    <w:name w:val="HTML Bottom of Form"/>
    <w:basedOn w:val="Normal"/>
    <w:next w:val="Normal"/>
    <w:hidden/>
    <w:rsid w:val="00C814C6"/>
    <w:pPr>
      <w:pBdr>
        <w:top w:val="single" w:sz="6" w:space="1" w:color="auto"/>
      </w:pBdr>
      <w:overflowPunct/>
      <w:autoSpaceDE/>
      <w:autoSpaceDN/>
      <w:adjustRightInd/>
      <w:jc w:val="center"/>
      <w:textAlignment w:val="auto"/>
    </w:pPr>
    <w:rPr>
      <w:rFonts w:ascii="Arial" w:hAnsi="Arial" w:cs="Arial"/>
      <w:vanish/>
      <w:sz w:val="16"/>
      <w:szCs w:val="16"/>
    </w:rPr>
  </w:style>
  <w:style w:type="paragraph" w:styleId="ListParagraph">
    <w:name w:val="List Paragraph"/>
    <w:basedOn w:val="Normal"/>
    <w:uiPriority w:val="1"/>
    <w:qFormat/>
    <w:rsid w:val="00C72B82"/>
    <w:pPr>
      <w:ind w:left="720"/>
    </w:pPr>
  </w:style>
  <w:style w:type="paragraph" w:styleId="PlainText">
    <w:name w:val="Plain Text"/>
    <w:basedOn w:val="Normal"/>
    <w:link w:val="PlainTextChar"/>
    <w:uiPriority w:val="99"/>
    <w:unhideWhenUsed/>
    <w:rsid w:val="00180F68"/>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180F68"/>
    <w:rPr>
      <w:rFonts w:ascii="Consolas" w:eastAsia="Calibri" w:hAnsi="Consolas"/>
      <w:sz w:val="21"/>
      <w:szCs w:val="21"/>
    </w:rPr>
  </w:style>
  <w:style w:type="character" w:customStyle="1" w:styleId="CommentTextChar">
    <w:name w:val="Comment Text Char"/>
    <w:link w:val="CommentText"/>
    <w:semiHidden/>
    <w:rsid w:val="00941B5E"/>
  </w:style>
  <w:style w:type="character" w:customStyle="1" w:styleId="BodyTextChar">
    <w:name w:val="Body Text Char"/>
    <w:link w:val="BodyText"/>
    <w:rsid w:val="000551B1"/>
    <w:rPr>
      <w:sz w:val="24"/>
    </w:rPr>
  </w:style>
  <w:style w:type="character" w:styleId="UnresolvedMention">
    <w:name w:val="Unresolved Mention"/>
    <w:uiPriority w:val="99"/>
    <w:semiHidden/>
    <w:unhideWhenUsed/>
    <w:rsid w:val="00064FC0"/>
    <w:rPr>
      <w:color w:val="808080"/>
      <w:shd w:val="clear" w:color="auto" w:fill="E6E6E6"/>
    </w:rPr>
  </w:style>
  <w:style w:type="paragraph" w:styleId="TOC1">
    <w:name w:val="toc 1"/>
    <w:basedOn w:val="Normal"/>
    <w:uiPriority w:val="1"/>
    <w:qFormat/>
    <w:rsid w:val="00F46988"/>
    <w:pPr>
      <w:widowControl w:val="0"/>
      <w:overflowPunct/>
      <w:adjustRightInd/>
      <w:spacing w:before="22"/>
      <w:ind w:left="953" w:hanging="361"/>
      <w:textAlignment w:val="auto"/>
    </w:pPr>
    <w:rPr>
      <w:rFonts w:ascii="Calibri" w:eastAsia="Calibri" w:hAnsi="Calibri" w:cs="Calibri"/>
      <w:sz w:val="22"/>
      <w:szCs w:val="22"/>
    </w:rPr>
  </w:style>
  <w:style w:type="character" w:customStyle="1" w:styleId="FooterChar">
    <w:name w:val="Footer Char"/>
    <w:basedOn w:val="DefaultParagraphFont"/>
    <w:link w:val="Footer"/>
    <w:uiPriority w:val="99"/>
    <w:rsid w:val="00C4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3596">
      <w:bodyDiv w:val="1"/>
      <w:marLeft w:val="0"/>
      <w:marRight w:val="0"/>
      <w:marTop w:val="0"/>
      <w:marBottom w:val="0"/>
      <w:divBdr>
        <w:top w:val="none" w:sz="0" w:space="0" w:color="auto"/>
        <w:left w:val="none" w:sz="0" w:space="0" w:color="auto"/>
        <w:bottom w:val="none" w:sz="0" w:space="0" w:color="auto"/>
        <w:right w:val="none" w:sz="0" w:space="0" w:color="auto"/>
      </w:divBdr>
      <w:divsChild>
        <w:div w:id="1596744101">
          <w:marLeft w:val="0"/>
          <w:marRight w:val="0"/>
          <w:marTop w:val="100"/>
          <w:marBottom w:val="100"/>
          <w:divBdr>
            <w:top w:val="none" w:sz="0" w:space="0" w:color="auto"/>
            <w:left w:val="none" w:sz="0" w:space="0" w:color="auto"/>
            <w:bottom w:val="none" w:sz="0" w:space="0" w:color="auto"/>
            <w:right w:val="none" w:sz="0" w:space="0" w:color="auto"/>
          </w:divBdr>
          <w:divsChild>
            <w:div w:id="1192067013">
              <w:marLeft w:val="176"/>
              <w:marRight w:val="176"/>
              <w:marTop w:val="702"/>
              <w:marBottom w:val="176"/>
              <w:divBdr>
                <w:top w:val="none" w:sz="0" w:space="0" w:color="auto"/>
                <w:left w:val="none" w:sz="0" w:space="0" w:color="auto"/>
                <w:bottom w:val="none" w:sz="0" w:space="0" w:color="auto"/>
                <w:right w:val="none" w:sz="0" w:space="0" w:color="auto"/>
              </w:divBdr>
            </w:div>
          </w:divsChild>
        </w:div>
      </w:divsChild>
    </w:div>
    <w:div w:id="510291276">
      <w:bodyDiv w:val="1"/>
      <w:marLeft w:val="0"/>
      <w:marRight w:val="0"/>
      <w:marTop w:val="0"/>
      <w:marBottom w:val="0"/>
      <w:divBdr>
        <w:top w:val="none" w:sz="0" w:space="0" w:color="auto"/>
        <w:left w:val="none" w:sz="0" w:space="0" w:color="auto"/>
        <w:bottom w:val="none" w:sz="0" w:space="0" w:color="auto"/>
        <w:right w:val="none" w:sz="0" w:space="0" w:color="auto"/>
      </w:divBdr>
      <w:divsChild>
        <w:div w:id="636684516">
          <w:marLeft w:val="0"/>
          <w:marRight w:val="0"/>
          <w:marTop w:val="100"/>
          <w:marBottom w:val="100"/>
          <w:divBdr>
            <w:top w:val="none" w:sz="0" w:space="0" w:color="auto"/>
            <w:left w:val="none" w:sz="0" w:space="0" w:color="auto"/>
            <w:bottom w:val="none" w:sz="0" w:space="0" w:color="auto"/>
            <w:right w:val="none" w:sz="0" w:space="0" w:color="auto"/>
          </w:divBdr>
          <w:divsChild>
            <w:div w:id="1705057903">
              <w:marLeft w:val="176"/>
              <w:marRight w:val="176"/>
              <w:marTop w:val="702"/>
              <w:marBottom w:val="176"/>
              <w:divBdr>
                <w:top w:val="none" w:sz="0" w:space="0" w:color="auto"/>
                <w:left w:val="none" w:sz="0" w:space="0" w:color="auto"/>
                <w:bottom w:val="none" w:sz="0" w:space="0" w:color="auto"/>
                <w:right w:val="none" w:sz="0" w:space="0" w:color="auto"/>
              </w:divBdr>
            </w:div>
          </w:divsChild>
        </w:div>
      </w:divsChild>
    </w:div>
    <w:div w:id="967004384">
      <w:bodyDiv w:val="1"/>
      <w:marLeft w:val="0"/>
      <w:marRight w:val="0"/>
      <w:marTop w:val="0"/>
      <w:marBottom w:val="0"/>
      <w:divBdr>
        <w:top w:val="none" w:sz="0" w:space="0" w:color="auto"/>
        <w:left w:val="none" w:sz="0" w:space="0" w:color="auto"/>
        <w:bottom w:val="none" w:sz="0" w:space="0" w:color="auto"/>
        <w:right w:val="none" w:sz="0" w:space="0" w:color="auto"/>
      </w:divBdr>
    </w:div>
    <w:div w:id="1168598730">
      <w:bodyDiv w:val="1"/>
      <w:marLeft w:val="0"/>
      <w:marRight w:val="0"/>
      <w:marTop w:val="0"/>
      <w:marBottom w:val="0"/>
      <w:divBdr>
        <w:top w:val="none" w:sz="0" w:space="0" w:color="auto"/>
        <w:left w:val="none" w:sz="0" w:space="0" w:color="auto"/>
        <w:bottom w:val="none" w:sz="0" w:space="0" w:color="auto"/>
        <w:right w:val="none" w:sz="0" w:space="0" w:color="auto"/>
      </w:divBdr>
    </w:div>
    <w:div w:id="1662809293">
      <w:bodyDiv w:val="1"/>
      <w:marLeft w:val="0"/>
      <w:marRight w:val="0"/>
      <w:marTop w:val="0"/>
      <w:marBottom w:val="0"/>
      <w:divBdr>
        <w:top w:val="none" w:sz="0" w:space="0" w:color="auto"/>
        <w:left w:val="none" w:sz="0" w:space="0" w:color="auto"/>
        <w:bottom w:val="none" w:sz="0" w:space="0" w:color="auto"/>
        <w:right w:val="none" w:sz="0" w:space="0" w:color="auto"/>
      </w:divBdr>
    </w:div>
    <w:div w:id="1976325109">
      <w:bodyDiv w:val="1"/>
      <w:marLeft w:val="0"/>
      <w:marRight w:val="0"/>
      <w:marTop w:val="0"/>
      <w:marBottom w:val="0"/>
      <w:divBdr>
        <w:top w:val="none" w:sz="0" w:space="0" w:color="auto"/>
        <w:left w:val="none" w:sz="0" w:space="0" w:color="auto"/>
        <w:bottom w:val="none" w:sz="0" w:space="0" w:color="auto"/>
        <w:right w:val="none" w:sz="0" w:space="0" w:color="auto"/>
      </w:divBdr>
    </w:div>
    <w:div w:id="20288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3ACF-F7AC-4DC9-A039-2BFC2AA0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1322</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  Financial Management</vt:lpstr>
    </vt:vector>
  </TitlesOfParts>
  <Company>KDOCH</Company>
  <LinksUpToDate>false</LinksUpToDate>
  <CharactersWithSpaces>9022</CharactersWithSpaces>
  <SharedDoc>false</SharedDoc>
  <HLinks>
    <vt:vector size="18" baseType="variant">
      <vt:variant>
        <vt:i4>7864431</vt:i4>
      </vt:variant>
      <vt:variant>
        <vt:i4>1335</vt:i4>
      </vt:variant>
      <vt:variant>
        <vt:i4>0</vt:i4>
      </vt:variant>
      <vt:variant>
        <vt:i4>5</vt:i4>
      </vt:variant>
      <vt:variant>
        <vt:lpwstr>https://www.kansascommerce.gov/wp-content/uploads/2019/03/HUD-Disclosure-Report.pdf</vt:lpwstr>
      </vt:variant>
      <vt:variant>
        <vt:lpwstr/>
      </vt:variant>
      <vt:variant>
        <vt:i4>1179728</vt:i4>
      </vt:variant>
      <vt:variant>
        <vt:i4>849</vt:i4>
      </vt:variant>
      <vt:variant>
        <vt:i4>0</vt:i4>
      </vt:variant>
      <vt:variant>
        <vt:i4>5</vt:i4>
      </vt:variant>
      <vt:variant>
        <vt:lpwstr>https://www.kansascommerce.gov/wp-content/uploads/2019/04/FORM-C-Housing-Application-Log-extra-pages-4-2019.docx</vt:lpwstr>
      </vt:variant>
      <vt:variant>
        <vt:lpwstr/>
      </vt:variant>
      <vt:variant>
        <vt:i4>1507398</vt:i4>
      </vt:variant>
      <vt:variant>
        <vt:i4>73</vt:i4>
      </vt:variant>
      <vt:variant>
        <vt:i4>0</vt:i4>
      </vt:variant>
      <vt:variant>
        <vt:i4>5</vt:i4>
      </vt:variant>
      <vt:variant>
        <vt:lpwstr>https://www.zip-codes.com/search.asp?fld-address=p+o+box+27&amp;fld-address2=&amp;fld-city=belvue&amp;fld-state=ks&amp;fld-zip=66407&amp;srch-type=address&amp;submit=find+zip+code+of+this+u.s.+address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Financial Management</dc:title>
  <dc:subject/>
  <dc:creator>KDOC7H</dc:creator>
  <cp:keywords/>
  <cp:lastModifiedBy>Linda Hunsicker [KDC]</cp:lastModifiedBy>
  <cp:revision>11</cp:revision>
  <cp:lastPrinted>2022-09-27T18:56:00Z</cp:lastPrinted>
  <dcterms:created xsi:type="dcterms:W3CDTF">2022-07-22T20:31:00Z</dcterms:created>
  <dcterms:modified xsi:type="dcterms:W3CDTF">2022-11-08T00:12:00Z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864d0f31fdf0752cf45fca1d1fe476470041dd16f466ae30357539096115b411</vt:lpwstr>
  </property>
</Properties>
</file>