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1E122" w14:textId="2BF2A068" w:rsidR="00BD69E7" w:rsidRPr="00E60EE4" w:rsidRDefault="00C07B2E" w:rsidP="00E60EE4">
      <w:pPr>
        <w:jc w:val="center"/>
        <w:rPr>
          <w:b/>
          <w:bCs/>
          <w:sz w:val="32"/>
          <w:szCs w:val="32"/>
        </w:rPr>
      </w:pPr>
      <w:r>
        <w:rPr>
          <w:b/>
          <w:bCs/>
          <w:sz w:val="32"/>
          <w:szCs w:val="32"/>
        </w:rPr>
        <w:t>Quick Wins and Deep Dives</w:t>
      </w:r>
      <w:r w:rsidR="00E60EE4" w:rsidRPr="00E60EE4">
        <w:rPr>
          <w:b/>
          <w:bCs/>
          <w:sz w:val="32"/>
          <w:szCs w:val="32"/>
        </w:rPr>
        <w:t xml:space="preserve"> – International Market Research for Busy Advisors</w:t>
      </w:r>
    </w:p>
    <w:p w14:paraId="16C9392F" w14:textId="29CFF3AE" w:rsidR="00E60EE4" w:rsidRPr="00E60EE4" w:rsidRDefault="00E60EE4" w:rsidP="00E60EE4">
      <w:pPr>
        <w:jc w:val="center"/>
        <w:rPr>
          <w:b/>
          <w:bCs/>
        </w:rPr>
      </w:pPr>
      <w:r w:rsidRPr="00E60EE4">
        <w:rPr>
          <w:b/>
          <w:bCs/>
        </w:rPr>
        <w:t>Links from the presentation</w:t>
      </w:r>
    </w:p>
    <w:p w14:paraId="29C42225" w14:textId="645EA74D" w:rsidR="00E60EE4" w:rsidRDefault="00E60EE4"/>
    <w:p w14:paraId="1E452837" w14:textId="21B2BA1B" w:rsidR="00E60EE4" w:rsidRDefault="00E60EE4">
      <w:r>
        <w:t xml:space="preserve">Schedule B Search Engine (to find the 6 – </w:t>
      </w:r>
      <w:proofErr w:type="gramStart"/>
      <w:r>
        <w:t>10 digit</w:t>
      </w:r>
      <w:proofErr w:type="gramEnd"/>
      <w:r>
        <w:t xml:space="preserve"> number for your commodity): </w:t>
      </w:r>
      <w:hyperlink r:id="rId5" w:history="1">
        <w:r w:rsidRPr="008E4B28">
          <w:rPr>
            <w:rStyle w:val="Hyperlink"/>
          </w:rPr>
          <w:t>https://uscensus.prod.3ceonline.com/</w:t>
        </w:r>
      </w:hyperlink>
      <w:r>
        <w:t xml:space="preserve"> </w:t>
      </w:r>
    </w:p>
    <w:p w14:paraId="609A5315" w14:textId="30B53052" w:rsidR="00E60EE4" w:rsidRDefault="00E60EE4">
      <w:r>
        <w:t xml:space="preserve">Or call: 1-800-USA-TRAD (The “E” is not only invisible, </w:t>
      </w:r>
      <w:proofErr w:type="gramStart"/>
      <w:r>
        <w:t>it’s</w:t>
      </w:r>
      <w:proofErr w:type="gramEnd"/>
      <w:r>
        <w:t xml:space="preserve"> silent!) (1-800-872-8723)</w:t>
      </w:r>
    </w:p>
    <w:p w14:paraId="320B8C70" w14:textId="2E741EB3" w:rsidR="00E60EE4" w:rsidRDefault="00E60EE4">
      <w:r>
        <w:t>---</w:t>
      </w:r>
    </w:p>
    <w:p w14:paraId="5942DD75" w14:textId="77777777" w:rsidR="00E60EE4" w:rsidRPr="00E60EE4" w:rsidRDefault="00E60EE4" w:rsidP="00E60EE4">
      <w:r>
        <w:t xml:space="preserve">ITC Trade Map for indications of demand and for determining the top importing countries for your commodity, tariffs, even relative pricing differences: </w:t>
      </w:r>
      <w:hyperlink r:id="rId6" w:history="1">
        <w:r w:rsidRPr="00E60EE4">
          <w:rPr>
            <w:rStyle w:val="Hyperlink"/>
          </w:rPr>
          <w:t>https://www.trademap.org/Index.aspx</w:t>
        </w:r>
      </w:hyperlink>
    </w:p>
    <w:p w14:paraId="1CA09DC8" w14:textId="282ABFBA" w:rsidR="00E60EE4" w:rsidRDefault="00E60EE4">
      <w:r>
        <w:t>---</w:t>
      </w:r>
    </w:p>
    <w:p w14:paraId="0B0A173E" w14:textId="15B05BF0" w:rsidR="00E60EE4" w:rsidRDefault="00E60EE4">
      <w:r>
        <w:t xml:space="preserve">U.S. Free Trade Agreements: </w:t>
      </w:r>
      <w:hyperlink r:id="rId7" w:history="1">
        <w:r w:rsidRPr="004F5D5D">
          <w:rPr>
            <w:rStyle w:val="Hyperlink"/>
          </w:rPr>
          <w:t>https://ustr.gov/trade-agreements/free-trade-agreements</w:t>
        </w:r>
      </w:hyperlink>
    </w:p>
    <w:p w14:paraId="5F2DF0EE" w14:textId="6E5A4C9E" w:rsidR="00E60EE4" w:rsidRDefault="00E60EE4">
      <w:r>
        <w:t xml:space="preserve">--- </w:t>
      </w:r>
    </w:p>
    <w:p w14:paraId="193A4D33" w14:textId="138B588E" w:rsidR="00E60EE4" w:rsidRDefault="00E60EE4">
      <w:r>
        <w:t xml:space="preserve">MSU’s Global Edge: </w:t>
      </w:r>
      <w:hyperlink r:id="rId8" w:history="1">
        <w:r w:rsidRPr="004F5D5D">
          <w:rPr>
            <w:rStyle w:val="Hyperlink"/>
          </w:rPr>
          <w:t>https://globaledge.msu.edu/</w:t>
        </w:r>
      </w:hyperlink>
    </w:p>
    <w:p w14:paraId="7858BC0F" w14:textId="2BD2153D" w:rsidR="00E60EE4" w:rsidRDefault="00E60EE4">
      <w:r>
        <w:t>For:</w:t>
      </w:r>
    </w:p>
    <w:p w14:paraId="3F1A0C7A" w14:textId="2699FCE5" w:rsidR="00E60EE4" w:rsidRPr="00E60EE4" w:rsidRDefault="00E60EE4" w:rsidP="00E60EE4">
      <w:pPr>
        <w:numPr>
          <w:ilvl w:val="0"/>
          <w:numId w:val="1"/>
        </w:numPr>
      </w:pPr>
      <w:r w:rsidRPr="00E60EE4">
        <w:rPr>
          <w:highlight w:val="yellow"/>
        </w:rPr>
        <w:t>Country Comparator Tool</w:t>
      </w:r>
      <w:r>
        <w:t xml:space="preserve"> – up to 20 countries and 5 user-selected parameters</w:t>
      </w:r>
    </w:p>
    <w:p w14:paraId="655D7517" w14:textId="7771526B" w:rsidR="00E60EE4" w:rsidRPr="00E60EE4" w:rsidRDefault="00E60EE4" w:rsidP="00E60EE4">
      <w:pPr>
        <w:numPr>
          <w:ilvl w:val="0"/>
          <w:numId w:val="1"/>
        </w:numPr>
      </w:pPr>
      <w:r w:rsidRPr="00E60EE4">
        <w:rPr>
          <w:highlight w:val="yellow"/>
        </w:rPr>
        <w:t>Market Potential Index</w:t>
      </w:r>
      <w:r>
        <w:t xml:space="preserve"> – an ind</w:t>
      </w:r>
      <w:r w:rsidR="00173DB6">
        <w:t>ustry</w:t>
      </w:r>
      <w:r w:rsidR="0078602B">
        <w:t>-agnostic rank for markets overseas</w:t>
      </w:r>
    </w:p>
    <w:p w14:paraId="4D61EC37" w14:textId="77777777" w:rsidR="00E60EE4" w:rsidRPr="00E60EE4" w:rsidRDefault="00E60EE4" w:rsidP="00E60EE4">
      <w:pPr>
        <w:numPr>
          <w:ilvl w:val="0"/>
          <w:numId w:val="1"/>
        </w:numPr>
      </w:pPr>
      <w:r w:rsidRPr="00E60EE4">
        <w:t>Global Insights</w:t>
      </w:r>
    </w:p>
    <w:p w14:paraId="40AFD34C" w14:textId="77777777" w:rsidR="00E60EE4" w:rsidRPr="00E60EE4" w:rsidRDefault="00E60EE4" w:rsidP="00E60EE4">
      <w:pPr>
        <w:numPr>
          <w:ilvl w:val="0"/>
          <w:numId w:val="1"/>
        </w:numPr>
      </w:pPr>
      <w:r w:rsidRPr="00E60EE4">
        <w:t>Cultural Info</w:t>
      </w:r>
    </w:p>
    <w:p w14:paraId="3449D1DE" w14:textId="77777777" w:rsidR="00E60EE4" w:rsidRPr="00E60EE4" w:rsidRDefault="00E60EE4" w:rsidP="00E60EE4">
      <w:pPr>
        <w:numPr>
          <w:ilvl w:val="0"/>
          <w:numId w:val="1"/>
        </w:numPr>
      </w:pPr>
      <w:r w:rsidRPr="00E60EE4">
        <w:t>Interactive Rankings</w:t>
      </w:r>
    </w:p>
    <w:p w14:paraId="35858107" w14:textId="50FA84FB" w:rsidR="00E60EE4" w:rsidRDefault="00E60EE4">
      <w:r>
        <w:t xml:space="preserve">--- </w:t>
      </w:r>
    </w:p>
    <w:p w14:paraId="35CC713E" w14:textId="4430FC9B" w:rsidR="00E60EE4" w:rsidRDefault="000E725E">
      <w:r>
        <w:t xml:space="preserve">ITA’s Market Diversification Tool, for finding new markets for a company who already has some exports: </w:t>
      </w:r>
      <w:hyperlink r:id="rId9" w:history="1">
        <w:r w:rsidRPr="004F5D5D">
          <w:rPr>
            <w:rStyle w:val="Hyperlink"/>
          </w:rPr>
          <w:t>https://beta.trade.gov/marketdiversification</w:t>
        </w:r>
      </w:hyperlink>
    </w:p>
    <w:p w14:paraId="426F7984" w14:textId="44E6F73C" w:rsidR="000E725E" w:rsidRDefault="000E725E">
      <w:r>
        <w:t xml:space="preserve">--- </w:t>
      </w:r>
    </w:p>
    <w:p w14:paraId="6BA791BC" w14:textId="4ED42C52" w:rsidR="000E725E" w:rsidRDefault="000E725E">
      <w:r>
        <w:t xml:space="preserve">Google Trends: (Change the geography drop down to ‘worldwide’): </w:t>
      </w:r>
      <w:hyperlink r:id="rId10" w:history="1">
        <w:r w:rsidRPr="004F5D5D">
          <w:rPr>
            <w:rStyle w:val="Hyperlink"/>
          </w:rPr>
          <w:t>https://trends.google.com/trends/?geo=US</w:t>
        </w:r>
      </w:hyperlink>
    </w:p>
    <w:p w14:paraId="4E618EA6" w14:textId="3170E077" w:rsidR="000E725E" w:rsidRDefault="000E725E">
      <w:r>
        <w:t>---</w:t>
      </w:r>
    </w:p>
    <w:p w14:paraId="52601271" w14:textId="5AA8F076" w:rsidR="000E725E" w:rsidRDefault="00000000">
      <w:hyperlink r:id="rId11" w:history="1">
        <w:r w:rsidR="000E0103" w:rsidRPr="004F5D5D">
          <w:rPr>
            <w:rStyle w:val="Hyperlink"/>
          </w:rPr>
          <w:t>https://www.trade.gov/</w:t>
        </w:r>
      </w:hyperlink>
      <w:r w:rsidR="000E0103">
        <w:t xml:space="preserve"> for great research by industry, </w:t>
      </w:r>
      <w:proofErr w:type="gramStart"/>
      <w:r w:rsidR="000E0103">
        <w:t>country</w:t>
      </w:r>
      <w:proofErr w:type="gramEnd"/>
      <w:r w:rsidR="000E0103">
        <w:t xml:space="preserve"> or region. Use the drop down under “For U.S. Businesses” and then click “Research Center.” Note that there are other tools, such as compliance info!</w:t>
      </w:r>
    </w:p>
    <w:p w14:paraId="47EF553F" w14:textId="7014F833" w:rsidR="000E0103" w:rsidRDefault="000E0103">
      <w:r>
        <w:t xml:space="preserve">--- </w:t>
      </w:r>
    </w:p>
    <w:p w14:paraId="6F82B3BC" w14:textId="3058CC70" w:rsidR="000E0103" w:rsidRDefault="000E0103">
      <w:proofErr w:type="gramStart"/>
      <w:r>
        <w:lastRenderedPageBreak/>
        <w:t>Also</w:t>
      </w:r>
      <w:proofErr w:type="gramEnd"/>
      <w:r>
        <w:t xml:space="preserve"> from Trade.gov, their Top Markets tool, ranking industries by likelihood of success overseas: </w:t>
      </w:r>
      <w:hyperlink r:id="rId12" w:history="1">
        <w:r w:rsidRPr="004F5D5D">
          <w:rPr>
            <w:rStyle w:val="Hyperlink"/>
          </w:rPr>
          <w:t>https://www.trade.gov/top-markets</w:t>
        </w:r>
      </w:hyperlink>
    </w:p>
    <w:p w14:paraId="453B272B" w14:textId="4FD95C49" w:rsidR="000E0103" w:rsidRDefault="000E0103">
      <w:r>
        <w:t xml:space="preserve">--- </w:t>
      </w:r>
    </w:p>
    <w:p w14:paraId="60B64A83" w14:textId="754BF4F0" w:rsidR="000E0103" w:rsidRDefault="000E0103">
      <w:r>
        <w:t xml:space="preserve">For state trade data: who’s buying from your state, and what they’re buying: </w:t>
      </w:r>
      <w:hyperlink r:id="rId13" w:history="1">
        <w:r w:rsidRPr="004F5D5D">
          <w:rPr>
            <w:rStyle w:val="Hyperlink"/>
          </w:rPr>
          <w:t>https://www.trade.gov/report/tradestats-express-national-and-state-trade-data</w:t>
        </w:r>
      </w:hyperlink>
    </w:p>
    <w:p w14:paraId="45FF5733" w14:textId="6AFD3954" w:rsidR="000E0103" w:rsidRDefault="000E0103">
      <w:r>
        <w:t xml:space="preserve">--- </w:t>
      </w:r>
    </w:p>
    <w:p w14:paraId="0F8D2C8D" w14:textId="45B25711" w:rsidR="000E0103" w:rsidRDefault="000E0103">
      <w:r>
        <w:t xml:space="preserve">World Bank Data – for hundreds of data sets. Note the “Featured Indicators” and “All Indicators” tabs: </w:t>
      </w:r>
      <w:hyperlink r:id="rId14" w:history="1">
        <w:r w:rsidRPr="004F5D5D">
          <w:rPr>
            <w:rStyle w:val="Hyperlink"/>
          </w:rPr>
          <w:t>https://data.worldbank.org/indicator</w:t>
        </w:r>
      </w:hyperlink>
    </w:p>
    <w:p w14:paraId="748CF737" w14:textId="4EC62CF5" w:rsidR="000E0103" w:rsidRDefault="000E0103">
      <w:r>
        <w:t xml:space="preserve">--- </w:t>
      </w:r>
    </w:p>
    <w:p w14:paraId="20E3F576" w14:textId="77777777" w:rsidR="000E0103" w:rsidRPr="000E0103" w:rsidRDefault="000E0103" w:rsidP="000E0103">
      <w:r>
        <w:t xml:space="preserve">Maurice Kogan’s excellent International Trade Compliance Institute, for 900+ well-organized links and resources: </w:t>
      </w:r>
      <w:hyperlink r:id="rId15" w:history="1">
        <w:r w:rsidRPr="000E0103">
          <w:rPr>
            <w:rStyle w:val="Hyperlink"/>
          </w:rPr>
          <w:t>http://www.tradecomplianceinstitute.org/</w:t>
        </w:r>
      </w:hyperlink>
    </w:p>
    <w:p w14:paraId="23B7A4BF" w14:textId="2A8D5C8D" w:rsidR="000E0103" w:rsidRDefault="000E0103">
      <w:r>
        <w:t xml:space="preserve">--- </w:t>
      </w:r>
    </w:p>
    <w:p w14:paraId="5E5C9468" w14:textId="77777777" w:rsidR="000E0103" w:rsidRPr="000E0103" w:rsidRDefault="000E0103" w:rsidP="000E0103">
      <w:r>
        <w:t xml:space="preserve">The CIA World Factbook: </w:t>
      </w:r>
      <w:hyperlink r:id="rId16" w:history="1">
        <w:r w:rsidRPr="000E0103">
          <w:rPr>
            <w:rStyle w:val="Hyperlink"/>
          </w:rPr>
          <w:t>https://www.cia.gov/library/publications/the-world-factbook/</w:t>
        </w:r>
      </w:hyperlink>
    </w:p>
    <w:p w14:paraId="0C2465CB" w14:textId="4446F011" w:rsidR="000E0103" w:rsidRDefault="000E0103">
      <w:r>
        <w:t xml:space="preserve">--- </w:t>
      </w:r>
    </w:p>
    <w:p w14:paraId="7074877A" w14:textId="75C85A3C" w:rsidR="000E0103" w:rsidRDefault="000E0103">
      <w:r>
        <w:t>The Global Trade Helpdesk – for detailed info on imports</w:t>
      </w:r>
      <w:r w:rsidR="00BC1F04">
        <w:t xml:space="preserve"> and compliance</w:t>
      </w:r>
      <w:r>
        <w:t xml:space="preserve"> in your target country: </w:t>
      </w:r>
      <w:hyperlink r:id="rId17" w:history="1">
        <w:r w:rsidRPr="004F5D5D">
          <w:rPr>
            <w:rStyle w:val="Hyperlink"/>
          </w:rPr>
          <w:t>https://globaltradehelpdesk.org/en</w:t>
        </w:r>
      </w:hyperlink>
    </w:p>
    <w:p w14:paraId="4A8B2202" w14:textId="0254FC3B" w:rsidR="000E0103" w:rsidRDefault="000E0103">
      <w:r>
        <w:t xml:space="preserve">--- </w:t>
      </w:r>
    </w:p>
    <w:p w14:paraId="115D132B" w14:textId="14D693B7" w:rsidR="000E0103" w:rsidRDefault="00D07F91">
      <w:r>
        <w:t xml:space="preserve">Back to Trade.gov for Market Intelligence, grouped by country and Industry: </w:t>
      </w:r>
      <w:hyperlink r:id="rId18" w:history="1">
        <w:r w:rsidRPr="004F5D5D">
          <w:rPr>
            <w:rStyle w:val="Hyperlink"/>
          </w:rPr>
          <w:t>https://www.trade.gov/market-intelligence</w:t>
        </w:r>
      </w:hyperlink>
    </w:p>
    <w:p w14:paraId="2B2C55F5" w14:textId="41B0435C" w:rsidR="00D07F91" w:rsidRDefault="00D07F91">
      <w:r>
        <w:t xml:space="preserve">--- </w:t>
      </w:r>
    </w:p>
    <w:p w14:paraId="2214EFB3" w14:textId="6C399D94" w:rsidR="00D07F91" w:rsidRDefault="00D07F91">
      <w:r>
        <w:t xml:space="preserve">The U.S. Commercial Service’s Gold Key program, for introductions and facilitated meetings with vetted agents, </w:t>
      </w:r>
      <w:proofErr w:type="gramStart"/>
      <w:r>
        <w:t>distributors</w:t>
      </w:r>
      <w:proofErr w:type="gramEnd"/>
      <w:r>
        <w:t xml:space="preserve"> and partners overseas: </w:t>
      </w:r>
      <w:hyperlink r:id="rId19" w:history="1">
        <w:r w:rsidRPr="004F5D5D">
          <w:rPr>
            <w:rStyle w:val="Hyperlink"/>
          </w:rPr>
          <w:t>https://www.trade.gov/gold-key-service</w:t>
        </w:r>
      </w:hyperlink>
      <w:r>
        <w:t xml:space="preserve"> </w:t>
      </w:r>
    </w:p>
    <w:p w14:paraId="795F24E8" w14:textId="4832F8D5" w:rsidR="00D07F91" w:rsidRDefault="00D07F91">
      <w:r>
        <w:t xml:space="preserve">--- </w:t>
      </w:r>
    </w:p>
    <w:p w14:paraId="6680CBC2" w14:textId="58701ED8" w:rsidR="00882D29" w:rsidRDefault="00882D29">
      <w:r>
        <w:t>NASBITE</w:t>
      </w:r>
      <w:r w:rsidR="00120A3E">
        <w:t>’s</w:t>
      </w:r>
      <w:r>
        <w:t xml:space="preserve"> expansive Trade Passport for dozens of international trade videos: </w:t>
      </w:r>
      <w:hyperlink r:id="rId20" w:history="1">
        <w:r w:rsidRPr="004F5D5D">
          <w:rPr>
            <w:rStyle w:val="Hyperlink"/>
          </w:rPr>
          <w:t>https://www.trade-passport.org/</w:t>
        </w:r>
      </w:hyperlink>
      <w:r>
        <w:t xml:space="preserve"> </w:t>
      </w:r>
      <w:r w:rsidR="00120A3E">
        <w:t xml:space="preserve"> You can watch up to 20 for free!</w:t>
      </w:r>
    </w:p>
    <w:p w14:paraId="3B063552" w14:textId="789412C4" w:rsidR="00882D29" w:rsidRDefault="00882D29">
      <w:r>
        <w:t xml:space="preserve">--- </w:t>
      </w:r>
    </w:p>
    <w:p w14:paraId="2C894ABD" w14:textId="77777777" w:rsidR="00B865D3" w:rsidRPr="00B865D3" w:rsidRDefault="00B865D3" w:rsidP="00B865D3">
      <w:pPr>
        <w:shd w:val="clear" w:color="auto" w:fill="FFFFFF"/>
        <w:spacing w:before="225" w:after="225"/>
        <w:outlineLvl w:val="0"/>
        <w:rPr>
          <w:rFonts w:ascii="Helvetica" w:hAnsi="Helvetica" w:cs="Helvetica"/>
          <w:color w:val="666666"/>
          <w:kern w:val="36"/>
          <w:sz w:val="32"/>
          <w:szCs w:val="32"/>
        </w:rPr>
      </w:pPr>
      <w:r w:rsidRPr="00B865D3">
        <w:rPr>
          <w:rFonts w:ascii="Helvetica" w:hAnsi="Helvetica" w:cs="Helvetica"/>
          <w:color w:val="666666"/>
          <w:kern w:val="36"/>
          <w:sz w:val="32"/>
          <w:szCs w:val="32"/>
        </w:rPr>
        <w:t>International Markets Scorecard</w:t>
      </w:r>
    </w:p>
    <w:p w14:paraId="1B7ADF2C" w14:textId="2797F0DB" w:rsidR="00B865D3" w:rsidRPr="00323208" w:rsidRDefault="00B865D3" w:rsidP="00B865D3">
      <w:pPr>
        <w:shd w:val="clear" w:color="auto" w:fill="FFFFFF"/>
        <w:spacing w:before="180" w:after="180" w:line="240" w:lineRule="auto"/>
        <w:rPr>
          <w:rFonts w:ascii="Helvetica" w:eastAsia="Times New Roman" w:hAnsi="Helvetica" w:cs="Helvetica"/>
          <w:color w:val="363534"/>
          <w:sz w:val="24"/>
          <w:szCs w:val="24"/>
        </w:rPr>
      </w:pPr>
      <w:r w:rsidRPr="00323208">
        <w:rPr>
          <w:rFonts w:ascii="Helvetica" w:eastAsia="Times New Roman" w:hAnsi="Helvetica" w:cs="Helvetica"/>
          <w:color w:val="363534"/>
          <w:sz w:val="24"/>
          <w:szCs w:val="24"/>
        </w:rPr>
        <w:t xml:space="preserve">Thus far, we've been looking at data sources and indices, and downloading the data from these sources. </w:t>
      </w:r>
      <w:r>
        <w:rPr>
          <w:rFonts w:ascii="Helvetica" w:eastAsia="Times New Roman" w:hAnsi="Helvetica" w:cs="Helvetica"/>
          <w:color w:val="363534"/>
          <w:sz w:val="24"/>
          <w:szCs w:val="24"/>
        </w:rPr>
        <w:t xml:space="preserve">The next step is to </w:t>
      </w:r>
      <w:r w:rsidRPr="00323208">
        <w:rPr>
          <w:rFonts w:ascii="Helvetica" w:eastAsia="Times New Roman" w:hAnsi="Helvetica" w:cs="Helvetica"/>
          <w:color w:val="363534"/>
          <w:sz w:val="24"/>
          <w:szCs w:val="24"/>
        </w:rPr>
        <w:t xml:space="preserve"> build an </w:t>
      </w:r>
      <w:hyperlink r:id="rId21" w:tooltip="International Market Research Example.xlsx" w:history="1">
        <w:r w:rsidRPr="00B865D3">
          <w:rPr>
            <w:rFonts w:ascii="Helvetica" w:eastAsia="Times New Roman" w:hAnsi="Helvetica" w:cs="Helvetica"/>
            <w:sz w:val="24"/>
            <w:szCs w:val="24"/>
          </w:rPr>
          <w:t>Excel spreadsheet</w:t>
        </w:r>
      </w:hyperlink>
      <w:r w:rsidRPr="00323208">
        <w:rPr>
          <w:rFonts w:ascii="Helvetica" w:eastAsia="Times New Roman" w:hAnsi="Helvetica" w:cs="Helvetica"/>
          <w:color w:val="363534"/>
          <w:sz w:val="24"/>
          <w:szCs w:val="24"/>
        </w:rPr>
        <w:t xml:space="preserve"> that compiles this data, weight it according to our assumptions and then sort out the top performing countries. </w:t>
      </w:r>
      <w:r>
        <w:rPr>
          <w:rFonts w:ascii="Helvetica" w:eastAsia="Times New Roman" w:hAnsi="Helvetica" w:cs="Helvetica"/>
          <w:color w:val="363534"/>
          <w:sz w:val="24"/>
          <w:szCs w:val="24"/>
        </w:rPr>
        <w:t>You</w:t>
      </w:r>
      <w:r w:rsidRPr="00323208">
        <w:rPr>
          <w:rFonts w:ascii="Helvetica" w:eastAsia="Times New Roman" w:hAnsi="Helvetica" w:cs="Helvetica"/>
          <w:color w:val="363534"/>
          <w:sz w:val="24"/>
          <w:szCs w:val="24"/>
        </w:rPr>
        <w:t xml:space="preserve"> will then have an excellent indication that those top 5 or 10 countries on the scorecard may be excellent potential markets for our products or services.</w:t>
      </w:r>
      <w:r>
        <w:rPr>
          <w:rFonts w:ascii="Helvetica" w:eastAsia="Times New Roman" w:hAnsi="Helvetica" w:cs="Helvetica"/>
          <w:color w:val="363534"/>
          <w:sz w:val="24"/>
          <w:szCs w:val="24"/>
        </w:rPr>
        <w:t xml:space="preserve"> You can </w:t>
      </w:r>
      <w:r w:rsidRPr="00323208">
        <w:rPr>
          <w:rFonts w:ascii="Helvetica" w:eastAsia="Times New Roman" w:hAnsi="Helvetica" w:cs="Helvetica"/>
          <w:color w:val="363534"/>
          <w:sz w:val="24"/>
          <w:szCs w:val="24"/>
        </w:rPr>
        <w:t>watch a video showing the process of creating one</w:t>
      </w:r>
      <w:r>
        <w:rPr>
          <w:rFonts w:ascii="Helvetica" w:eastAsia="Times New Roman" w:hAnsi="Helvetica" w:cs="Helvetica"/>
          <w:color w:val="363534"/>
          <w:sz w:val="24"/>
          <w:szCs w:val="24"/>
        </w:rPr>
        <w:t xml:space="preserve">: </w:t>
      </w:r>
      <w:hyperlink r:id="rId22" w:history="1">
        <w:r w:rsidRPr="00597D8B">
          <w:rPr>
            <w:rStyle w:val="Hyperlink"/>
            <w:rFonts w:ascii="Helvetica" w:eastAsia="Times New Roman" w:hAnsi="Helvetica" w:cs="Helvetica"/>
            <w:sz w:val="24"/>
            <w:szCs w:val="24"/>
          </w:rPr>
          <w:t>https://youtu.be/CqbQ_u0LGxY</w:t>
        </w:r>
      </w:hyperlink>
      <w:r>
        <w:rPr>
          <w:rFonts w:ascii="Helvetica" w:eastAsia="Times New Roman" w:hAnsi="Helvetica" w:cs="Helvetica"/>
          <w:color w:val="363534"/>
          <w:sz w:val="24"/>
          <w:szCs w:val="24"/>
        </w:rPr>
        <w:t xml:space="preserve"> </w:t>
      </w:r>
    </w:p>
    <w:p w14:paraId="53D05008" w14:textId="77777777" w:rsidR="00B865D3" w:rsidRPr="00323208" w:rsidRDefault="00B865D3" w:rsidP="00B865D3">
      <w:pPr>
        <w:shd w:val="clear" w:color="auto" w:fill="FFFFFF"/>
        <w:spacing w:before="180" w:after="180" w:line="240" w:lineRule="auto"/>
        <w:rPr>
          <w:rFonts w:ascii="Helvetica" w:eastAsia="Times New Roman" w:hAnsi="Helvetica" w:cs="Helvetica"/>
          <w:color w:val="363534"/>
          <w:sz w:val="24"/>
          <w:szCs w:val="24"/>
        </w:rPr>
      </w:pPr>
      <w:r w:rsidRPr="00323208">
        <w:rPr>
          <w:rFonts w:ascii="Helvetica" w:eastAsia="Times New Roman" w:hAnsi="Helvetica" w:cs="Helvetica"/>
          <w:color w:val="363534"/>
          <w:sz w:val="24"/>
          <w:szCs w:val="24"/>
        </w:rPr>
        <w:lastRenderedPageBreak/>
        <w:t> </w:t>
      </w:r>
    </w:p>
    <w:p w14:paraId="799B33D2" w14:textId="77777777" w:rsidR="00B865D3" w:rsidRPr="00323208" w:rsidRDefault="00B865D3" w:rsidP="00B865D3">
      <w:pPr>
        <w:shd w:val="clear" w:color="auto" w:fill="FFFFFF"/>
        <w:spacing w:before="180" w:after="180" w:line="240" w:lineRule="auto"/>
        <w:rPr>
          <w:rFonts w:ascii="Helvetica" w:eastAsia="Times New Roman" w:hAnsi="Helvetica" w:cs="Helvetica"/>
          <w:color w:val="363534"/>
          <w:sz w:val="24"/>
          <w:szCs w:val="24"/>
        </w:rPr>
      </w:pPr>
      <w:r w:rsidRPr="00323208">
        <w:rPr>
          <w:rFonts w:ascii="Helvetica" w:eastAsia="Times New Roman" w:hAnsi="Helvetica" w:cs="Helvetica"/>
          <w:b/>
          <w:bCs/>
          <w:color w:val="363534"/>
          <w:sz w:val="24"/>
          <w:szCs w:val="24"/>
        </w:rPr>
        <w:t>Scorecard basics:</w:t>
      </w:r>
    </w:p>
    <w:p w14:paraId="521FF53A" w14:textId="77777777" w:rsidR="00B865D3" w:rsidRPr="00323208" w:rsidRDefault="00B865D3" w:rsidP="00B865D3">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363534"/>
          <w:sz w:val="24"/>
          <w:szCs w:val="24"/>
        </w:rPr>
      </w:pPr>
      <w:r w:rsidRPr="00323208">
        <w:rPr>
          <w:rFonts w:ascii="Helvetica" w:eastAsia="Times New Roman" w:hAnsi="Helvetica" w:cs="Helvetica"/>
          <w:color w:val="363534"/>
          <w:sz w:val="24"/>
          <w:szCs w:val="24"/>
        </w:rPr>
        <w:t>Keeping each indicator on its own tab (for example, population) makes for a cleaner looking scorecard</w:t>
      </w:r>
    </w:p>
    <w:p w14:paraId="2F0F8850" w14:textId="77777777" w:rsidR="00B865D3" w:rsidRPr="00323208" w:rsidRDefault="00B865D3" w:rsidP="00B865D3">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363534"/>
          <w:sz w:val="24"/>
          <w:szCs w:val="24"/>
        </w:rPr>
      </w:pPr>
      <w:r w:rsidRPr="00323208">
        <w:rPr>
          <w:rFonts w:ascii="Helvetica" w:eastAsia="Times New Roman" w:hAnsi="Helvetica" w:cs="Helvetica"/>
          <w:color w:val="363534"/>
          <w:sz w:val="24"/>
          <w:szCs w:val="24"/>
        </w:rPr>
        <w:t>Not all indices use the same name for a country (ex: South Korea aka. S. Korea aka. Republic of Korea) so you will likely need to go into the data and clean up a few country names. Make sure you're comparing apples to apples!</w:t>
      </w:r>
    </w:p>
    <w:p w14:paraId="01ED4187" w14:textId="77777777" w:rsidR="00B865D3" w:rsidRPr="00323208" w:rsidRDefault="00B865D3" w:rsidP="00B865D3">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363534"/>
          <w:sz w:val="24"/>
          <w:szCs w:val="24"/>
        </w:rPr>
      </w:pPr>
      <w:r w:rsidRPr="00323208">
        <w:rPr>
          <w:rFonts w:ascii="Helvetica" w:eastAsia="Times New Roman" w:hAnsi="Helvetica" w:cs="Helvetica"/>
          <w:color w:val="363534"/>
          <w:sz w:val="24"/>
          <w:szCs w:val="24"/>
        </w:rPr>
        <w:t xml:space="preserve"> Likewise, make sure that huge numbers (such as population, again) don't dwarf smaller numbers such as Michigan State University's Global Edge Market Potential index (MPI), which ranges from 1 to 100. We do this by dividing the entire data set by </w:t>
      </w:r>
      <w:proofErr w:type="spellStart"/>
      <w:proofErr w:type="gramStart"/>
      <w:r w:rsidRPr="00323208">
        <w:rPr>
          <w:rFonts w:ascii="Helvetica" w:eastAsia="Times New Roman" w:hAnsi="Helvetica" w:cs="Helvetica"/>
          <w:color w:val="363534"/>
          <w:sz w:val="24"/>
          <w:szCs w:val="24"/>
        </w:rPr>
        <w:t>it's</w:t>
      </w:r>
      <w:proofErr w:type="spellEnd"/>
      <w:proofErr w:type="gramEnd"/>
      <w:r w:rsidRPr="00323208">
        <w:rPr>
          <w:rFonts w:ascii="Helvetica" w:eastAsia="Times New Roman" w:hAnsi="Helvetica" w:cs="Helvetica"/>
          <w:color w:val="363534"/>
          <w:sz w:val="24"/>
          <w:szCs w:val="24"/>
        </w:rPr>
        <w:t xml:space="preserve"> highest number and multiplying by 100. Thus, China's highest population will appear as 100, India as 98, etc., and the range can be compared with other data sets.</w:t>
      </w:r>
    </w:p>
    <w:p w14:paraId="05F79111" w14:textId="77777777" w:rsidR="00B865D3" w:rsidRPr="00323208" w:rsidRDefault="00B865D3" w:rsidP="00B865D3">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363534"/>
          <w:sz w:val="24"/>
          <w:szCs w:val="24"/>
        </w:rPr>
      </w:pPr>
      <w:r w:rsidRPr="00323208">
        <w:rPr>
          <w:rFonts w:ascii="Helvetica" w:eastAsia="Times New Roman" w:hAnsi="Helvetica" w:cs="Helvetica"/>
          <w:color w:val="363534"/>
          <w:sz w:val="24"/>
          <w:szCs w:val="24"/>
        </w:rPr>
        <w:t>You can weight each data set. This is a totally subjective process, but not all data is created equal. In the Excel example, we weighted Market Potential Index (MPI) and Gross Domestic Product (GDP) twice as heavily as population and imports.</w:t>
      </w:r>
    </w:p>
    <w:p w14:paraId="0584F56D" w14:textId="77777777" w:rsidR="00B865D3" w:rsidRPr="00323208" w:rsidRDefault="00B865D3" w:rsidP="00B865D3">
      <w:pPr>
        <w:shd w:val="clear" w:color="auto" w:fill="FFFFFF"/>
        <w:spacing w:before="180" w:after="180" w:line="240" w:lineRule="auto"/>
        <w:rPr>
          <w:rFonts w:ascii="Helvetica" w:eastAsia="Times New Roman" w:hAnsi="Helvetica" w:cs="Helvetica"/>
          <w:color w:val="363534"/>
          <w:sz w:val="24"/>
          <w:szCs w:val="24"/>
        </w:rPr>
      </w:pPr>
      <w:r w:rsidRPr="00323208">
        <w:rPr>
          <w:rFonts w:ascii="Helvetica" w:eastAsia="Times New Roman" w:hAnsi="Helvetica" w:cs="Helvetica"/>
          <w:b/>
          <w:bCs/>
          <w:color w:val="363534"/>
          <w:sz w:val="24"/>
          <w:szCs w:val="24"/>
        </w:rPr>
        <w:t>Information on the formulae used:</w:t>
      </w:r>
    </w:p>
    <w:p w14:paraId="58C7FC33" w14:textId="46CBD73F" w:rsidR="00B865D3" w:rsidRPr="00323208" w:rsidRDefault="00B865D3" w:rsidP="00B865D3">
      <w:pPr>
        <w:shd w:val="clear" w:color="auto" w:fill="FFFFFF"/>
        <w:spacing w:before="180" w:after="180" w:line="240" w:lineRule="auto"/>
        <w:rPr>
          <w:rFonts w:ascii="Helvetica" w:eastAsia="Times New Roman" w:hAnsi="Helvetica" w:cs="Helvetica"/>
          <w:color w:val="363534"/>
          <w:sz w:val="24"/>
          <w:szCs w:val="24"/>
        </w:rPr>
      </w:pPr>
      <w:r w:rsidRPr="00323208">
        <w:rPr>
          <w:rFonts w:ascii="Helvetica" w:eastAsia="Times New Roman" w:hAnsi="Helvetica" w:cs="Helvetica"/>
          <w:color w:val="363534"/>
          <w:sz w:val="24"/>
          <w:szCs w:val="24"/>
        </w:rPr>
        <w:t xml:space="preserve">Here is </w:t>
      </w:r>
      <w:r w:rsidR="00BC1F04">
        <w:rPr>
          <w:rFonts w:ascii="Helvetica" w:eastAsia="Times New Roman" w:hAnsi="Helvetica" w:cs="Helvetica"/>
          <w:color w:val="363534"/>
          <w:sz w:val="24"/>
          <w:szCs w:val="24"/>
        </w:rPr>
        <w:t>an example</w:t>
      </w:r>
      <w:r w:rsidRPr="00323208">
        <w:rPr>
          <w:rFonts w:ascii="Helvetica" w:eastAsia="Times New Roman" w:hAnsi="Helvetica" w:cs="Helvetica"/>
          <w:color w:val="363534"/>
          <w:sz w:val="24"/>
          <w:szCs w:val="24"/>
        </w:rPr>
        <w:t xml:space="preserve"> of the Excel </w:t>
      </w:r>
      <w:r>
        <w:rPr>
          <w:rFonts w:ascii="Helvetica" w:eastAsia="Times New Roman" w:hAnsi="Helvetica" w:cs="Helvetica"/>
          <w:color w:val="363534"/>
          <w:sz w:val="24"/>
          <w:szCs w:val="24"/>
        </w:rPr>
        <w:t xml:space="preserve">vertical lookup </w:t>
      </w:r>
      <w:r w:rsidRPr="00323208">
        <w:rPr>
          <w:rFonts w:ascii="Helvetica" w:eastAsia="Times New Roman" w:hAnsi="Helvetica" w:cs="Helvetica"/>
          <w:color w:val="363534"/>
          <w:sz w:val="24"/>
          <w:szCs w:val="24"/>
        </w:rPr>
        <w:t>formula</w:t>
      </w:r>
      <w:r>
        <w:rPr>
          <w:rFonts w:ascii="Helvetica" w:eastAsia="Times New Roman" w:hAnsi="Helvetica" w:cs="Helvetica"/>
          <w:color w:val="363534"/>
          <w:sz w:val="24"/>
          <w:szCs w:val="24"/>
        </w:rPr>
        <w:t>e</w:t>
      </w:r>
      <w:r w:rsidRPr="00323208">
        <w:rPr>
          <w:rFonts w:ascii="Helvetica" w:eastAsia="Times New Roman" w:hAnsi="Helvetica" w:cs="Helvetica"/>
          <w:color w:val="363534"/>
          <w:sz w:val="24"/>
          <w:szCs w:val="24"/>
        </w:rPr>
        <w:t xml:space="preserve"> we use in the scorecard:</w:t>
      </w:r>
    </w:p>
    <w:p w14:paraId="0B232885" w14:textId="56237CA5" w:rsidR="00B865D3" w:rsidRDefault="00B865D3" w:rsidP="00B865D3">
      <w:pPr>
        <w:shd w:val="clear" w:color="auto" w:fill="FFFFFF"/>
        <w:spacing w:before="180" w:after="180" w:line="240" w:lineRule="auto"/>
        <w:rPr>
          <w:rFonts w:ascii="Helvetica" w:eastAsia="Times New Roman" w:hAnsi="Helvetica" w:cs="Helvetica"/>
          <w:color w:val="363534"/>
          <w:sz w:val="24"/>
          <w:szCs w:val="24"/>
        </w:rPr>
      </w:pPr>
      <w:r w:rsidRPr="00323208">
        <w:rPr>
          <w:rFonts w:ascii="Helvetica" w:eastAsia="Times New Roman" w:hAnsi="Helvetica" w:cs="Helvetica"/>
          <w:color w:val="363534"/>
          <w:sz w:val="24"/>
          <w:szCs w:val="24"/>
        </w:rPr>
        <w:t>=IFNA(VLOOKUP(A</w:t>
      </w:r>
      <w:proofErr w:type="gramStart"/>
      <w:r w:rsidRPr="00323208">
        <w:rPr>
          <w:rFonts w:ascii="Helvetica" w:eastAsia="Times New Roman" w:hAnsi="Helvetica" w:cs="Helvetica"/>
          <w:color w:val="363534"/>
          <w:sz w:val="24"/>
          <w:szCs w:val="24"/>
        </w:rPr>
        <w:t>3,Pop</w:t>
      </w:r>
      <w:proofErr w:type="gramEnd"/>
      <w:r w:rsidRPr="00323208">
        <w:rPr>
          <w:rFonts w:ascii="Helvetica" w:eastAsia="Times New Roman" w:hAnsi="Helvetica" w:cs="Helvetica"/>
          <w:color w:val="363534"/>
          <w:sz w:val="24"/>
          <w:szCs w:val="24"/>
        </w:rPr>
        <w:t>!$A20:$B283,2,FALSE),0)</w:t>
      </w:r>
    </w:p>
    <w:p w14:paraId="65D498C3" w14:textId="77777777" w:rsidR="00BC1F04" w:rsidRPr="00323208" w:rsidRDefault="00BC1F04" w:rsidP="00BC1F04">
      <w:pPr>
        <w:shd w:val="clear" w:color="auto" w:fill="FFFFFF"/>
        <w:spacing w:after="0" w:line="240" w:lineRule="auto"/>
        <w:rPr>
          <w:rFonts w:ascii="Helvetica" w:eastAsia="Times New Roman" w:hAnsi="Helvetica" w:cs="Helvetica"/>
          <w:color w:val="363534"/>
          <w:sz w:val="24"/>
          <w:szCs w:val="24"/>
        </w:rPr>
      </w:pPr>
      <w:r w:rsidRPr="00323208">
        <w:rPr>
          <w:rFonts w:ascii="Helvetica" w:eastAsia="Times New Roman" w:hAnsi="Helvetica" w:cs="Helvetica"/>
          <w:color w:val="363534"/>
          <w:sz w:val="24"/>
          <w:szCs w:val="24"/>
        </w:rPr>
        <w:t>Vertical Lookup (VLOOPUP) basically means that we're telling Excel to go to a cell, such as A3, which is the cell containing a country name, and then look at a cell to the right of it to return a number, such as Population. You can learn more about the VLOOKUP here: </w:t>
      </w:r>
      <w:hyperlink r:id="rId23" w:tgtFrame="_blank" w:history="1">
        <w:r w:rsidRPr="00323208">
          <w:rPr>
            <w:rFonts w:ascii="Helvetica" w:eastAsia="Times New Roman" w:hAnsi="Helvetica" w:cs="Helvetica"/>
            <w:color w:val="0000FF"/>
            <w:sz w:val="24"/>
            <w:szCs w:val="24"/>
            <w:u w:val="single"/>
          </w:rPr>
          <w:t>https://support.office.com/en-gb/article/vlookup-function-0bbc8083-26fe-4963-8ab8-93a18ad188a1</w:t>
        </w:r>
        <w:r w:rsidRPr="00323208">
          <w:rPr>
            <w:rFonts w:ascii="Helvetica" w:eastAsia="Times New Roman" w:hAnsi="Helvetica" w:cs="Helvetica"/>
            <w:color w:val="0000FF"/>
            <w:sz w:val="24"/>
            <w:szCs w:val="24"/>
            <w:u w:val="single"/>
            <w:bdr w:val="none" w:sz="0" w:space="0" w:color="auto" w:frame="1"/>
          </w:rPr>
          <w:t> (Links to an external site.)</w:t>
        </w:r>
      </w:hyperlink>
    </w:p>
    <w:p w14:paraId="2A71ABB2" w14:textId="295EC591" w:rsidR="00BC1F04" w:rsidRPr="00323208" w:rsidRDefault="00BC1F04" w:rsidP="00B865D3">
      <w:pPr>
        <w:shd w:val="clear" w:color="auto" w:fill="FFFFFF"/>
        <w:spacing w:before="180" w:after="180" w:line="240" w:lineRule="auto"/>
        <w:rPr>
          <w:rFonts w:ascii="Helvetica" w:eastAsia="Times New Roman" w:hAnsi="Helvetica" w:cs="Helvetica"/>
          <w:color w:val="363534"/>
          <w:sz w:val="24"/>
          <w:szCs w:val="24"/>
        </w:rPr>
      </w:pPr>
      <w:r w:rsidRPr="00323208">
        <w:rPr>
          <w:rFonts w:ascii="Helvetica" w:eastAsia="Times New Roman" w:hAnsi="Helvetica" w:cs="Helvetica"/>
          <w:color w:val="363534"/>
          <w:sz w:val="24"/>
          <w:szCs w:val="24"/>
        </w:rPr>
        <w:t xml:space="preserve">IFNA tells Excel to return a result (such as a zero) rather than an error </w:t>
      </w:r>
      <w:proofErr w:type="gramStart"/>
      <w:r w:rsidRPr="00323208">
        <w:rPr>
          <w:rFonts w:ascii="Helvetica" w:eastAsia="Times New Roman" w:hAnsi="Helvetica" w:cs="Helvetica"/>
          <w:color w:val="363534"/>
          <w:sz w:val="24"/>
          <w:szCs w:val="24"/>
        </w:rPr>
        <w:t>message, if</w:t>
      </w:r>
      <w:proofErr w:type="gramEnd"/>
      <w:r w:rsidRPr="00323208">
        <w:rPr>
          <w:rFonts w:ascii="Helvetica" w:eastAsia="Times New Roman" w:hAnsi="Helvetica" w:cs="Helvetica"/>
          <w:color w:val="363534"/>
          <w:sz w:val="24"/>
          <w:szCs w:val="24"/>
        </w:rPr>
        <w:t xml:space="preserve"> a cell turns out to be empty. An error message will cause a formula to break down, whereas a zero won't. You can learn more about the IFNA here: </w:t>
      </w:r>
      <w:hyperlink r:id="rId24" w:tgtFrame="_blank" w:history="1">
        <w:r w:rsidRPr="00323208">
          <w:rPr>
            <w:rFonts w:ascii="Helvetica" w:eastAsia="Times New Roman" w:hAnsi="Helvetica" w:cs="Helvetica"/>
            <w:color w:val="0000FF"/>
            <w:sz w:val="24"/>
            <w:szCs w:val="24"/>
            <w:u w:val="single"/>
          </w:rPr>
          <w:t>https://support.office.com/en-us/article/ifna-function-6626c961-a569-42fc-a49d-79b4951fd461</w:t>
        </w:r>
      </w:hyperlink>
    </w:p>
    <w:p w14:paraId="63A0D7F2" w14:textId="64EACCB3" w:rsidR="00B865D3" w:rsidRDefault="00B865D3">
      <w:r>
        <w:t xml:space="preserve">--- </w:t>
      </w:r>
    </w:p>
    <w:p w14:paraId="27123235" w14:textId="1D375B1F" w:rsidR="00D07F91" w:rsidRDefault="00D07F91">
      <w:r>
        <w:t>Our contact info:</w:t>
      </w:r>
    </w:p>
    <w:p w14:paraId="0C9D2727" w14:textId="693EC28E" w:rsidR="00C07B2E" w:rsidRDefault="00D07F91" w:rsidP="00D07F91">
      <w:r w:rsidRPr="00D07F91">
        <w:t xml:space="preserve">Dr. Laurie </w:t>
      </w:r>
      <w:proofErr w:type="gramStart"/>
      <w:r w:rsidRPr="00D07F91">
        <w:t xml:space="preserve">Pieper  </w:t>
      </w:r>
      <w:r w:rsidR="00C07B2E">
        <w:tab/>
      </w:r>
      <w:proofErr w:type="gramEnd"/>
      <w:r w:rsidRPr="00D07F91">
        <w:t xml:space="preserve"> </w:t>
      </w:r>
      <w:hyperlink r:id="rId25" w:history="1">
        <w:r w:rsidR="00C07B2E">
          <w:rPr>
            <w:rStyle w:val="Hyperlink"/>
          </w:rPr>
          <w:t>pieper@ksbdc.net</w:t>
        </w:r>
      </w:hyperlink>
      <w:r w:rsidR="00C07B2E">
        <w:t xml:space="preserve"> </w:t>
      </w:r>
    </w:p>
    <w:p w14:paraId="0AB059B4" w14:textId="0FA5DDE8" w:rsidR="00D07F91" w:rsidRPr="00D07F91" w:rsidRDefault="00D07F91" w:rsidP="00D07F91">
      <w:r w:rsidRPr="00D07F91">
        <w:rPr>
          <w:lang w:val="it-IT"/>
        </w:rPr>
        <w:t>John Addessi</w:t>
      </w:r>
      <w:r w:rsidR="00C07B2E">
        <w:rPr>
          <w:lang w:val="it-IT"/>
        </w:rPr>
        <w:t xml:space="preserve">  </w:t>
      </w:r>
      <w:r w:rsidR="00C07B2E">
        <w:rPr>
          <w:lang w:val="it-IT"/>
        </w:rPr>
        <w:tab/>
      </w:r>
      <w:r w:rsidRPr="00D07F91">
        <w:rPr>
          <w:lang w:val="it-IT"/>
        </w:rPr>
        <w:tab/>
      </w:r>
      <w:hyperlink r:id="rId26" w:history="1">
        <w:r w:rsidRPr="00D07F91">
          <w:rPr>
            <w:rStyle w:val="Hyperlink"/>
            <w:lang w:val="it-IT"/>
          </w:rPr>
          <w:t>jaddessi@jccc.edu</w:t>
        </w:r>
      </w:hyperlink>
      <w:r w:rsidRPr="00D07F91">
        <w:rPr>
          <w:lang w:val="it-IT"/>
        </w:rPr>
        <w:t xml:space="preserve"> </w:t>
      </w:r>
    </w:p>
    <w:p w14:paraId="6FAF6C4E" w14:textId="77777777" w:rsidR="00D07F91" w:rsidRDefault="00D07F91"/>
    <w:sectPr w:rsidR="00D07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00A36"/>
    <w:multiLevelType w:val="hybridMultilevel"/>
    <w:tmpl w:val="B3DA34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C418B"/>
    <w:multiLevelType w:val="hybridMultilevel"/>
    <w:tmpl w:val="8BB650F4"/>
    <w:lvl w:ilvl="0" w:tplc="0EE49F5E">
      <w:start w:val="1"/>
      <w:numFmt w:val="bullet"/>
      <w:lvlText w:val=""/>
      <w:lvlJc w:val="left"/>
      <w:pPr>
        <w:tabs>
          <w:tab w:val="num" w:pos="720"/>
        </w:tabs>
        <w:ind w:left="720" w:hanging="360"/>
      </w:pPr>
      <w:rPr>
        <w:rFonts w:ascii="Wingdings 2" w:hAnsi="Wingdings 2" w:hint="default"/>
      </w:rPr>
    </w:lvl>
    <w:lvl w:ilvl="1" w:tplc="507279C6" w:tentative="1">
      <w:start w:val="1"/>
      <w:numFmt w:val="bullet"/>
      <w:lvlText w:val=""/>
      <w:lvlJc w:val="left"/>
      <w:pPr>
        <w:tabs>
          <w:tab w:val="num" w:pos="1440"/>
        </w:tabs>
        <w:ind w:left="1440" w:hanging="360"/>
      </w:pPr>
      <w:rPr>
        <w:rFonts w:ascii="Wingdings 2" w:hAnsi="Wingdings 2" w:hint="default"/>
      </w:rPr>
    </w:lvl>
    <w:lvl w:ilvl="2" w:tplc="2D6E3C1C" w:tentative="1">
      <w:start w:val="1"/>
      <w:numFmt w:val="bullet"/>
      <w:lvlText w:val=""/>
      <w:lvlJc w:val="left"/>
      <w:pPr>
        <w:tabs>
          <w:tab w:val="num" w:pos="2160"/>
        </w:tabs>
        <w:ind w:left="2160" w:hanging="360"/>
      </w:pPr>
      <w:rPr>
        <w:rFonts w:ascii="Wingdings 2" w:hAnsi="Wingdings 2" w:hint="default"/>
      </w:rPr>
    </w:lvl>
    <w:lvl w:ilvl="3" w:tplc="88D4CF72" w:tentative="1">
      <w:start w:val="1"/>
      <w:numFmt w:val="bullet"/>
      <w:lvlText w:val=""/>
      <w:lvlJc w:val="left"/>
      <w:pPr>
        <w:tabs>
          <w:tab w:val="num" w:pos="2880"/>
        </w:tabs>
        <w:ind w:left="2880" w:hanging="360"/>
      </w:pPr>
      <w:rPr>
        <w:rFonts w:ascii="Wingdings 2" w:hAnsi="Wingdings 2" w:hint="default"/>
      </w:rPr>
    </w:lvl>
    <w:lvl w:ilvl="4" w:tplc="BFFE2EC4" w:tentative="1">
      <w:start w:val="1"/>
      <w:numFmt w:val="bullet"/>
      <w:lvlText w:val=""/>
      <w:lvlJc w:val="left"/>
      <w:pPr>
        <w:tabs>
          <w:tab w:val="num" w:pos="3600"/>
        </w:tabs>
        <w:ind w:left="3600" w:hanging="360"/>
      </w:pPr>
      <w:rPr>
        <w:rFonts w:ascii="Wingdings 2" w:hAnsi="Wingdings 2" w:hint="default"/>
      </w:rPr>
    </w:lvl>
    <w:lvl w:ilvl="5" w:tplc="91E8114A" w:tentative="1">
      <w:start w:val="1"/>
      <w:numFmt w:val="bullet"/>
      <w:lvlText w:val=""/>
      <w:lvlJc w:val="left"/>
      <w:pPr>
        <w:tabs>
          <w:tab w:val="num" w:pos="4320"/>
        </w:tabs>
        <w:ind w:left="4320" w:hanging="360"/>
      </w:pPr>
      <w:rPr>
        <w:rFonts w:ascii="Wingdings 2" w:hAnsi="Wingdings 2" w:hint="default"/>
      </w:rPr>
    </w:lvl>
    <w:lvl w:ilvl="6" w:tplc="C9704F32" w:tentative="1">
      <w:start w:val="1"/>
      <w:numFmt w:val="bullet"/>
      <w:lvlText w:val=""/>
      <w:lvlJc w:val="left"/>
      <w:pPr>
        <w:tabs>
          <w:tab w:val="num" w:pos="5040"/>
        </w:tabs>
        <w:ind w:left="5040" w:hanging="360"/>
      </w:pPr>
      <w:rPr>
        <w:rFonts w:ascii="Wingdings 2" w:hAnsi="Wingdings 2" w:hint="default"/>
      </w:rPr>
    </w:lvl>
    <w:lvl w:ilvl="7" w:tplc="ADC6189E" w:tentative="1">
      <w:start w:val="1"/>
      <w:numFmt w:val="bullet"/>
      <w:lvlText w:val=""/>
      <w:lvlJc w:val="left"/>
      <w:pPr>
        <w:tabs>
          <w:tab w:val="num" w:pos="5760"/>
        </w:tabs>
        <w:ind w:left="5760" w:hanging="360"/>
      </w:pPr>
      <w:rPr>
        <w:rFonts w:ascii="Wingdings 2" w:hAnsi="Wingdings 2" w:hint="default"/>
      </w:rPr>
    </w:lvl>
    <w:lvl w:ilvl="8" w:tplc="C3C2802E"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BC31A13"/>
    <w:multiLevelType w:val="hybridMultilevel"/>
    <w:tmpl w:val="FA148344"/>
    <w:lvl w:ilvl="0" w:tplc="62F0162E">
      <w:start w:val="1"/>
      <w:numFmt w:val="bullet"/>
      <w:lvlText w:val=""/>
      <w:lvlJc w:val="left"/>
      <w:pPr>
        <w:tabs>
          <w:tab w:val="num" w:pos="720"/>
        </w:tabs>
        <w:ind w:left="720" w:hanging="360"/>
      </w:pPr>
      <w:rPr>
        <w:rFonts w:ascii="Wingdings 2" w:hAnsi="Wingdings 2" w:hint="default"/>
      </w:rPr>
    </w:lvl>
    <w:lvl w:ilvl="1" w:tplc="4536A2DE" w:tentative="1">
      <w:start w:val="1"/>
      <w:numFmt w:val="bullet"/>
      <w:lvlText w:val=""/>
      <w:lvlJc w:val="left"/>
      <w:pPr>
        <w:tabs>
          <w:tab w:val="num" w:pos="1440"/>
        </w:tabs>
        <w:ind w:left="1440" w:hanging="360"/>
      </w:pPr>
      <w:rPr>
        <w:rFonts w:ascii="Wingdings 2" w:hAnsi="Wingdings 2" w:hint="default"/>
      </w:rPr>
    </w:lvl>
    <w:lvl w:ilvl="2" w:tplc="8E2A448E" w:tentative="1">
      <w:start w:val="1"/>
      <w:numFmt w:val="bullet"/>
      <w:lvlText w:val=""/>
      <w:lvlJc w:val="left"/>
      <w:pPr>
        <w:tabs>
          <w:tab w:val="num" w:pos="2160"/>
        </w:tabs>
        <w:ind w:left="2160" w:hanging="360"/>
      </w:pPr>
      <w:rPr>
        <w:rFonts w:ascii="Wingdings 2" w:hAnsi="Wingdings 2" w:hint="default"/>
      </w:rPr>
    </w:lvl>
    <w:lvl w:ilvl="3" w:tplc="588C6104" w:tentative="1">
      <w:start w:val="1"/>
      <w:numFmt w:val="bullet"/>
      <w:lvlText w:val=""/>
      <w:lvlJc w:val="left"/>
      <w:pPr>
        <w:tabs>
          <w:tab w:val="num" w:pos="2880"/>
        </w:tabs>
        <w:ind w:left="2880" w:hanging="360"/>
      </w:pPr>
      <w:rPr>
        <w:rFonts w:ascii="Wingdings 2" w:hAnsi="Wingdings 2" w:hint="default"/>
      </w:rPr>
    </w:lvl>
    <w:lvl w:ilvl="4" w:tplc="6C882502" w:tentative="1">
      <w:start w:val="1"/>
      <w:numFmt w:val="bullet"/>
      <w:lvlText w:val=""/>
      <w:lvlJc w:val="left"/>
      <w:pPr>
        <w:tabs>
          <w:tab w:val="num" w:pos="3600"/>
        </w:tabs>
        <w:ind w:left="3600" w:hanging="360"/>
      </w:pPr>
      <w:rPr>
        <w:rFonts w:ascii="Wingdings 2" w:hAnsi="Wingdings 2" w:hint="default"/>
      </w:rPr>
    </w:lvl>
    <w:lvl w:ilvl="5" w:tplc="27C4D26E" w:tentative="1">
      <w:start w:val="1"/>
      <w:numFmt w:val="bullet"/>
      <w:lvlText w:val=""/>
      <w:lvlJc w:val="left"/>
      <w:pPr>
        <w:tabs>
          <w:tab w:val="num" w:pos="4320"/>
        </w:tabs>
        <w:ind w:left="4320" w:hanging="360"/>
      </w:pPr>
      <w:rPr>
        <w:rFonts w:ascii="Wingdings 2" w:hAnsi="Wingdings 2" w:hint="default"/>
      </w:rPr>
    </w:lvl>
    <w:lvl w:ilvl="6" w:tplc="5EE296B2" w:tentative="1">
      <w:start w:val="1"/>
      <w:numFmt w:val="bullet"/>
      <w:lvlText w:val=""/>
      <w:lvlJc w:val="left"/>
      <w:pPr>
        <w:tabs>
          <w:tab w:val="num" w:pos="5040"/>
        </w:tabs>
        <w:ind w:left="5040" w:hanging="360"/>
      </w:pPr>
      <w:rPr>
        <w:rFonts w:ascii="Wingdings 2" w:hAnsi="Wingdings 2" w:hint="default"/>
      </w:rPr>
    </w:lvl>
    <w:lvl w:ilvl="7" w:tplc="93F6DC7A" w:tentative="1">
      <w:start w:val="1"/>
      <w:numFmt w:val="bullet"/>
      <w:lvlText w:val=""/>
      <w:lvlJc w:val="left"/>
      <w:pPr>
        <w:tabs>
          <w:tab w:val="num" w:pos="5760"/>
        </w:tabs>
        <w:ind w:left="5760" w:hanging="360"/>
      </w:pPr>
      <w:rPr>
        <w:rFonts w:ascii="Wingdings 2" w:hAnsi="Wingdings 2" w:hint="default"/>
      </w:rPr>
    </w:lvl>
    <w:lvl w:ilvl="8" w:tplc="B420B006"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53D67F00"/>
    <w:multiLevelType w:val="multilevel"/>
    <w:tmpl w:val="D81A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32562C"/>
    <w:multiLevelType w:val="hybridMultilevel"/>
    <w:tmpl w:val="21D07422"/>
    <w:lvl w:ilvl="0" w:tplc="D11E1AB0">
      <w:start w:val="1"/>
      <w:numFmt w:val="bullet"/>
      <w:lvlText w:val=""/>
      <w:lvlJc w:val="left"/>
      <w:pPr>
        <w:tabs>
          <w:tab w:val="num" w:pos="720"/>
        </w:tabs>
        <w:ind w:left="720" w:hanging="360"/>
      </w:pPr>
      <w:rPr>
        <w:rFonts w:ascii="Wingdings 2" w:hAnsi="Wingdings 2" w:hint="default"/>
      </w:rPr>
    </w:lvl>
    <w:lvl w:ilvl="1" w:tplc="1C30D56C" w:tentative="1">
      <w:start w:val="1"/>
      <w:numFmt w:val="bullet"/>
      <w:lvlText w:val=""/>
      <w:lvlJc w:val="left"/>
      <w:pPr>
        <w:tabs>
          <w:tab w:val="num" w:pos="1440"/>
        </w:tabs>
        <w:ind w:left="1440" w:hanging="360"/>
      </w:pPr>
      <w:rPr>
        <w:rFonts w:ascii="Wingdings 2" w:hAnsi="Wingdings 2" w:hint="default"/>
      </w:rPr>
    </w:lvl>
    <w:lvl w:ilvl="2" w:tplc="4F90BD44" w:tentative="1">
      <w:start w:val="1"/>
      <w:numFmt w:val="bullet"/>
      <w:lvlText w:val=""/>
      <w:lvlJc w:val="left"/>
      <w:pPr>
        <w:tabs>
          <w:tab w:val="num" w:pos="2160"/>
        </w:tabs>
        <w:ind w:left="2160" w:hanging="360"/>
      </w:pPr>
      <w:rPr>
        <w:rFonts w:ascii="Wingdings 2" w:hAnsi="Wingdings 2" w:hint="default"/>
      </w:rPr>
    </w:lvl>
    <w:lvl w:ilvl="3" w:tplc="4E9C3AA8" w:tentative="1">
      <w:start w:val="1"/>
      <w:numFmt w:val="bullet"/>
      <w:lvlText w:val=""/>
      <w:lvlJc w:val="left"/>
      <w:pPr>
        <w:tabs>
          <w:tab w:val="num" w:pos="2880"/>
        </w:tabs>
        <w:ind w:left="2880" w:hanging="360"/>
      </w:pPr>
      <w:rPr>
        <w:rFonts w:ascii="Wingdings 2" w:hAnsi="Wingdings 2" w:hint="default"/>
      </w:rPr>
    </w:lvl>
    <w:lvl w:ilvl="4" w:tplc="C85294C2" w:tentative="1">
      <w:start w:val="1"/>
      <w:numFmt w:val="bullet"/>
      <w:lvlText w:val=""/>
      <w:lvlJc w:val="left"/>
      <w:pPr>
        <w:tabs>
          <w:tab w:val="num" w:pos="3600"/>
        </w:tabs>
        <w:ind w:left="3600" w:hanging="360"/>
      </w:pPr>
      <w:rPr>
        <w:rFonts w:ascii="Wingdings 2" w:hAnsi="Wingdings 2" w:hint="default"/>
      </w:rPr>
    </w:lvl>
    <w:lvl w:ilvl="5" w:tplc="5A7E15DA" w:tentative="1">
      <w:start w:val="1"/>
      <w:numFmt w:val="bullet"/>
      <w:lvlText w:val=""/>
      <w:lvlJc w:val="left"/>
      <w:pPr>
        <w:tabs>
          <w:tab w:val="num" w:pos="4320"/>
        </w:tabs>
        <w:ind w:left="4320" w:hanging="360"/>
      </w:pPr>
      <w:rPr>
        <w:rFonts w:ascii="Wingdings 2" w:hAnsi="Wingdings 2" w:hint="default"/>
      </w:rPr>
    </w:lvl>
    <w:lvl w:ilvl="6" w:tplc="ACACC3C6" w:tentative="1">
      <w:start w:val="1"/>
      <w:numFmt w:val="bullet"/>
      <w:lvlText w:val=""/>
      <w:lvlJc w:val="left"/>
      <w:pPr>
        <w:tabs>
          <w:tab w:val="num" w:pos="5040"/>
        </w:tabs>
        <w:ind w:left="5040" w:hanging="360"/>
      </w:pPr>
      <w:rPr>
        <w:rFonts w:ascii="Wingdings 2" w:hAnsi="Wingdings 2" w:hint="default"/>
      </w:rPr>
    </w:lvl>
    <w:lvl w:ilvl="7" w:tplc="FBFC9BEE" w:tentative="1">
      <w:start w:val="1"/>
      <w:numFmt w:val="bullet"/>
      <w:lvlText w:val=""/>
      <w:lvlJc w:val="left"/>
      <w:pPr>
        <w:tabs>
          <w:tab w:val="num" w:pos="5760"/>
        </w:tabs>
        <w:ind w:left="5760" w:hanging="360"/>
      </w:pPr>
      <w:rPr>
        <w:rFonts w:ascii="Wingdings 2" w:hAnsi="Wingdings 2" w:hint="default"/>
      </w:rPr>
    </w:lvl>
    <w:lvl w:ilvl="8" w:tplc="684EE238" w:tentative="1">
      <w:start w:val="1"/>
      <w:numFmt w:val="bullet"/>
      <w:lvlText w:val=""/>
      <w:lvlJc w:val="left"/>
      <w:pPr>
        <w:tabs>
          <w:tab w:val="num" w:pos="6480"/>
        </w:tabs>
        <w:ind w:left="6480" w:hanging="360"/>
      </w:pPr>
      <w:rPr>
        <w:rFonts w:ascii="Wingdings 2" w:hAnsi="Wingdings 2" w:hint="default"/>
      </w:rPr>
    </w:lvl>
  </w:abstractNum>
  <w:num w:numId="1" w16cid:durableId="251940375">
    <w:abstractNumId w:val="2"/>
  </w:num>
  <w:num w:numId="2" w16cid:durableId="1098868817">
    <w:abstractNumId w:val="1"/>
  </w:num>
  <w:num w:numId="3" w16cid:durableId="1790397829">
    <w:abstractNumId w:val="4"/>
  </w:num>
  <w:num w:numId="4" w16cid:durableId="1180504770">
    <w:abstractNumId w:val="0"/>
  </w:num>
  <w:num w:numId="5" w16cid:durableId="1095591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E4"/>
    <w:rsid w:val="000E0103"/>
    <w:rsid w:val="000E725E"/>
    <w:rsid w:val="00120A3E"/>
    <w:rsid w:val="00173DB6"/>
    <w:rsid w:val="00720AAD"/>
    <w:rsid w:val="0078602B"/>
    <w:rsid w:val="00882D29"/>
    <w:rsid w:val="00B865D3"/>
    <w:rsid w:val="00BC1F04"/>
    <w:rsid w:val="00C07B2E"/>
    <w:rsid w:val="00CF1CF6"/>
    <w:rsid w:val="00D07F91"/>
    <w:rsid w:val="00E60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D681"/>
  <w15:chartTrackingRefBased/>
  <w15:docId w15:val="{6FC33FAA-EC62-4D2F-A327-4D872F9A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EE4"/>
    <w:rPr>
      <w:color w:val="0563C1" w:themeColor="hyperlink"/>
      <w:u w:val="single"/>
    </w:rPr>
  </w:style>
  <w:style w:type="character" w:styleId="UnresolvedMention">
    <w:name w:val="Unresolved Mention"/>
    <w:basedOn w:val="DefaultParagraphFont"/>
    <w:uiPriority w:val="99"/>
    <w:semiHidden/>
    <w:unhideWhenUsed/>
    <w:rsid w:val="00E60EE4"/>
    <w:rPr>
      <w:color w:val="605E5C"/>
      <w:shd w:val="clear" w:color="auto" w:fill="E1DFDD"/>
    </w:rPr>
  </w:style>
  <w:style w:type="paragraph" w:styleId="NormalWeb">
    <w:name w:val="Normal (Web)"/>
    <w:basedOn w:val="Normal"/>
    <w:uiPriority w:val="99"/>
    <w:semiHidden/>
    <w:unhideWhenUsed/>
    <w:rsid w:val="00E60EE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E010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678416">
      <w:bodyDiv w:val="1"/>
      <w:marLeft w:val="0"/>
      <w:marRight w:val="0"/>
      <w:marTop w:val="0"/>
      <w:marBottom w:val="0"/>
      <w:divBdr>
        <w:top w:val="none" w:sz="0" w:space="0" w:color="auto"/>
        <w:left w:val="none" w:sz="0" w:space="0" w:color="auto"/>
        <w:bottom w:val="none" w:sz="0" w:space="0" w:color="auto"/>
        <w:right w:val="none" w:sz="0" w:space="0" w:color="auto"/>
      </w:divBdr>
      <w:divsChild>
        <w:div w:id="1756627513">
          <w:marLeft w:val="475"/>
          <w:marRight w:val="0"/>
          <w:marTop w:val="82"/>
          <w:marBottom w:val="120"/>
          <w:divBdr>
            <w:top w:val="none" w:sz="0" w:space="0" w:color="auto"/>
            <w:left w:val="none" w:sz="0" w:space="0" w:color="auto"/>
            <w:bottom w:val="none" w:sz="0" w:space="0" w:color="auto"/>
            <w:right w:val="none" w:sz="0" w:space="0" w:color="auto"/>
          </w:divBdr>
        </w:div>
        <w:div w:id="1225094721">
          <w:marLeft w:val="475"/>
          <w:marRight w:val="0"/>
          <w:marTop w:val="82"/>
          <w:marBottom w:val="120"/>
          <w:divBdr>
            <w:top w:val="none" w:sz="0" w:space="0" w:color="auto"/>
            <w:left w:val="none" w:sz="0" w:space="0" w:color="auto"/>
            <w:bottom w:val="none" w:sz="0" w:space="0" w:color="auto"/>
            <w:right w:val="none" w:sz="0" w:space="0" w:color="auto"/>
          </w:divBdr>
        </w:div>
        <w:div w:id="791943903">
          <w:marLeft w:val="475"/>
          <w:marRight w:val="0"/>
          <w:marTop w:val="82"/>
          <w:marBottom w:val="120"/>
          <w:divBdr>
            <w:top w:val="none" w:sz="0" w:space="0" w:color="auto"/>
            <w:left w:val="none" w:sz="0" w:space="0" w:color="auto"/>
            <w:bottom w:val="none" w:sz="0" w:space="0" w:color="auto"/>
            <w:right w:val="none" w:sz="0" w:space="0" w:color="auto"/>
          </w:divBdr>
        </w:div>
        <w:div w:id="925043554">
          <w:marLeft w:val="475"/>
          <w:marRight w:val="0"/>
          <w:marTop w:val="82"/>
          <w:marBottom w:val="120"/>
          <w:divBdr>
            <w:top w:val="none" w:sz="0" w:space="0" w:color="auto"/>
            <w:left w:val="none" w:sz="0" w:space="0" w:color="auto"/>
            <w:bottom w:val="none" w:sz="0" w:space="0" w:color="auto"/>
            <w:right w:val="none" w:sz="0" w:space="0" w:color="auto"/>
          </w:divBdr>
        </w:div>
        <w:div w:id="321857019">
          <w:marLeft w:val="475"/>
          <w:marRight w:val="0"/>
          <w:marTop w:val="82"/>
          <w:marBottom w:val="120"/>
          <w:divBdr>
            <w:top w:val="none" w:sz="0" w:space="0" w:color="auto"/>
            <w:left w:val="none" w:sz="0" w:space="0" w:color="auto"/>
            <w:bottom w:val="none" w:sz="0" w:space="0" w:color="auto"/>
            <w:right w:val="none" w:sz="0" w:space="0" w:color="auto"/>
          </w:divBdr>
        </w:div>
      </w:divsChild>
    </w:div>
    <w:div w:id="495999256">
      <w:bodyDiv w:val="1"/>
      <w:marLeft w:val="0"/>
      <w:marRight w:val="0"/>
      <w:marTop w:val="0"/>
      <w:marBottom w:val="0"/>
      <w:divBdr>
        <w:top w:val="none" w:sz="0" w:space="0" w:color="auto"/>
        <w:left w:val="none" w:sz="0" w:space="0" w:color="auto"/>
        <w:bottom w:val="none" w:sz="0" w:space="0" w:color="auto"/>
        <w:right w:val="none" w:sz="0" w:space="0" w:color="auto"/>
      </w:divBdr>
      <w:divsChild>
        <w:div w:id="1060136357">
          <w:marLeft w:val="475"/>
          <w:marRight w:val="0"/>
          <w:marTop w:val="82"/>
          <w:marBottom w:val="120"/>
          <w:divBdr>
            <w:top w:val="none" w:sz="0" w:space="0" w:color="auto"/>
            <w:left w:val="none" w:sz="0" w:space="0" w:color="auto"/>
            <w:bottom w:val="none" w:sz="0" w:space="0" w:color="auto"/>
            <w:right w:val="none" w:sz="0" w:space="0" w:color="auto"/>
          </w:divBdr>
        </w:div>
      </w:divsChild>
    </w:div>
    <w:div w:id="823740190">
      <w:bodyDiv w:val="1"/>
      <w:marLeft w:val="0"/>
      <w:marRight w:val="0"/>
      <w:marTop w:val="0"/>
      <w:marBottom w:val="0"/>
      <w:divBdr>
        <w:top w:val="none" w:sz="0" w:space="0" w:color="auto"/>
        <w:left w:val="none" w:sz="0" w:space="0" w:color="auto"/>
        <w:bottom w:val="none" w:sz="0" w:space="0" w:color="auto"/>
        <w:right w:val="none" w:sz="0" w:space="0" w:color="auto"/>
      </w:divBdr>
    </w:div>
    <w:div w:id="866021886">
      <w:bodyDiv w:val="1"/>
      <w:marLeft w:val="0"/>
      <w:marRight w:val="0"/>
      <w:marTop w:val="0"/>
      <w:marBottom w:val="0"/>
      <w:divBdr>
        <w:top w:val="none" w:sz="0" w:space="0" w:color="auto"/>
        <w:left w:val="none" w:sz="0" w:space="0" w:color="auto"/>
        <w:bottom w:val="none" w:sz="0" w:space="0" w:color="auto"/>
        <w:right w:val="none" w:sz="0" w:space="0" w:color="auto"/>
      </w:divBdr>
    </w:div>
    <w:div w:id="1597443289">
      <w:bodyDiv w:val="1"/>
      <w:marLeft w:val="0"/>
      <w:marRight w:val="0"/>
      <w:marTop w:val="0"/>
      <w:marBottom w:val="0"/>
      <w:divBdr>
        <w:top w:val="none" w:sz="0" w:space="0" w:color="auto"/>
        <w:left w:val="none" w:sz="0" w:space="0" w:color="auto"/>
        <w:bottom w:val="none" w:sz="0" w:space="0" w:color="auto"/>
        <w:right w:val="none" w:sz="0" w:space="0" w:color="auto"/>
      </w:divBdr>
      <w:divsChild>
        <w:div w:id="26878007">
          <w:marLeft w:val="475"/>
          <w:marRight w:val="0"/>
          <w:marTop w:val="82"/>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edge.msu.edu/" TargetMode="External"/><Relationship Id="rId13" Type="http://schemas.openxmlformats.org/officeDocument/2006/relationships/hyperlink" Target="https://www.trade.gov/report/tradestats-express-national-and-state-trade-data" TargetMode="External"/><Relationship Id="rId18" Type="http://schemas.openxmlformats.org/officeDocument/2006/relationships/hyperlink" Target="https://www.trade.gov/market-intelligence" TargetMode="External"/><Relationship Id="rId26" Type="http://schemas.openxmlformats.org/officeDocument/2006/relationships/hyperlink" Target="mailto:jaddessi@jccc.edu" TargetMode="External"/><Relationship Id="rId3" Type="http://schemas.openxmlformats.org/officeDocument/2006/relationships/settings" Target="settings.xml"/><Relationship Id="rId21" Type="http://schemas.openxmlformats.org/officeDocument/2006/relationships/hyperlink" Target="https://jccc-ce.instructure.com/courses/153/files/62919/download?wrap=1" TargetMode="External"/><Relationship Id="rId7" Type="http://schemas.openxmlformats.org/officeDocument/2006/relationships/hyperlink" Target="https://ustr.gov/trade-agreements/free-trade-agreements" TargetMode="External"/><Relationship Id="rId12" Type="http://schemas.openxmlformats.org/officeDocument/2006/relationships/hyperlink" Target="https://www.trade.gov/top-markets" TargetMode="External"/><Relationship Id="rId17" Type="http://schemas.openxmlformats.org/officeDocument/2006/relationships/hyperlink" Target="https://globaltradehelpdesk.org/en" TargetMode="External"/><Relationship Id="rId25" Type="http://schemas.openxmlformats.org/officeDocument/2006/relationships/hyperlink" Target="mailto:pieper@ksbdc.net" TargetMode="External"/><Relationship Id="rId2" Type="http://schemas.openxmlformats.org/officeDocument/2006/relationships/styles" Target="styles.xml"/><Relationship Id="rId16" Type="http://schemas.openxmlformats.org/officeDocument/2006/relationships/hyperlink" Target="https://www.cia.gov/library/publications/the-world-factbook/" TargetMode="External"/><Relationship Id="rId20" Type="http://schemas.openxmlformats.org/officeDocument/2006/relationships/hyperlink" Target="https://www.trade-passport.org/" TargetMode="External"/><Relationship Id="rId1" Type="http://schemas.openxmlformats.org/officeDocument/2006/relationships/numbering" Target="numbering.xml"/><Relationship Id="rId6" Type="http://schemas.openxmlformats.org/officeDocument/2006/relationships/hyperlink" Target="https://www.trademap.org/Index.aspx" TargetMode="External"/><Relationship Id="rId11" Type="http://schemas.openxmlformats.org/officeDocument/2006/relationships/hyperlink" Target="https://www.trade.gov/" TargetMode="External"/><Relationship Id="rId24" Type="http://schemas.openxmlformats.org/officeDocument/2006/relationships/hyperlink" Target="https://support.office.com/en-us/article/ifna-function-6626c961-a569-42fc-a49d-79b4951fd461" TargetMode="External"/><Relationship Id="rId5" Type="http://schemas.openxmlformats.org/officeDocument/2006/relationships/hyperlink" Target="https://uscensus.prod.3ceonline.com/" TargetMode="External"/><Relationship Id="rId15" Type="http://schemas.openxmlformats.org/officeDocument/2006/relationships/hyperlink" Target="http://www.tradecomplianceinstitute.org/" TargetMode="External"/><Relationship Id="rId23" Type="http://schemas.openxmlformats.org/officeDocument/2006/relationships/hyperlink" Target="https://support.office.com/en-gb/article/vlookup-function-0bbc8083-26fe-4963-8ab8-93a18ad188a1" TargetMode="External"/><Relationship Id="rId28" Type="http://schemas.openxmlformats.org/officeDocument/2006/relationships/theme" Target="theme/theme1.xml"/><Relationship Id="rId10" Type="http://schemas.openxmlformats.org/officeDocument/2006/relationships/hyperlink" Target="https://trends.google.com/trends/?geo=US" TargetMode="External"/><Relationship Id="rId19" Type="http://schemas.openxmlformats.org/officeDocument/2006/relationships/hyperlink" Target="https://www.trade.gov/gold-key-service" TargetMode="External"/><Relationship Id="rId4" Type="http://schemas.openxmlformats.org/officeDocument/2006/relationships/webSettings" Target="webSettings.xml"/><Relationship Id="rId9" Type="http://schemas.openxmlformats.org/officeDocument/2006/relationships/hyperlink" Target="https://beta.trade.gov/marketdiversification" TargetMode="External"/><Relationship Id="rId14" Type="http://schemas.openxmlformats.org/officeDocument/2006/relationships/hyperlink" Target="https://data.worldbank.org/indicator" TargetMode="External"/><Relationship Id="rId22" Type="http://schemas.openxmlformats.org/officeDocument/2006/relationships/hyperlink" Target="https://youtu.be/CqbQ_u0LGx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Addessi</dc:creator>
  <cp:keywords/>
  <dc:description/>
  <cp:lastModifiedBy>John Addessi</cp:lastModifiedBy>
  <cp:revision>2</cp:revision>
  <dcterms:created xsi:type="dcterms:W3CDTF">2023-03-20T22:28:00Z</dcterms:created>
  <dcterms:modified xsi:type="dcterms:W3CDTF">2023-03-20T22:28:00Z</dcterms:modified>
</cp:coreProperties>
</file>